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6810" w:rsidRPr="00696396" w:rsidRDefault="00026810" w:rsidP="00026810">
      <w:pPr>
        <w:pStyle w:val="S1"/>
        <w:spacing w:after="0" w:line="240" w:lineRule="auto"/>
        <w:ind w:firstLine="284"/>
        <w:jc w:val="both"/>
        <w:rPr>
          <w:rFonts w:ascii="Arial Narrow" w:hAnsi="Arial Narrow"/>
          <w:b w:val="0"/>
          <w:sz w:val="22"/>
          <w:szCs w:val="22"/>
        </w:rPr>
      </w:pPr>
      <w:bookmarkStart w:id="0" w:name="_Toc463084862"/>
      <w:r w:rsidRPr="00696396">
        <w:rPr>
          <w:rFonts w:ascii="Arial Narrow" w:hAnsi="Arial Narrow" w:cs="Arial"/>
          <w:b w:val="0"/>
          <w:sz w:val="22"/>
          <w:szCs w:val="22"/>
          <w:lang w:eastAsia="de-DE"/>
        </w:rPr>
        <w:t>Cours</w:t>
      </w:r>
      <w:r w:rsidRPr="00696396">
        <w:rPr>
          <w:rFonts w:ascii="Arial Narrow" w:hAnsi="Arial Narrow"/>
          <w:b w:val="0"/>
          <w:sz w:val="22"/>
          <w:szCs w:val="22"/>
        </w:rPr>
        <w:t xml:space="preserve">  </w:t>
      </w:r>
      <w:r w:rsidRPr="00696396">
        <w:rPr>
          <w:rFonts w:ascii="Arial Narrow" w:hAnsi="Arial Narrow" w:cs="Calibri"/>
          <w:b w:val="0"/>
          <w:sz w:val="22"/>
          <w:szCs w:val="22"/>
        </w:rPr>
        <w:t>18/11 : </w:t>
      </w:r>
      <w:r w:rsidRPr="00696396">
        <w:rPr>
          <w:rFonts w:ascii="Arial Narrow" w:hAnsi="Arial Narrow" w:cs="Arial"/>
          <w:b w:val="0"/>
          <w:sz w:val="22"/>
          <w:szCs w:val="22"/>
          <w:lang w:eastAsia="de-DE"/>
        </w:rPr>
        <w:t>Régions, langues et religions en rapport avec l’UE</w:t>
      </w:r>
      <w:bookmarkEnd w:id="0"/>
    </w:p>
    <w:p w:rsidR="00026810" w:rsidRPr="00696396" w:rsidRDefault="00026810" w:rsidP="00026810">
      <w:pPr>
        <w:pStyle w:val="S2"/>
        <w:spacing w:after="0" w:line="240" w:lineRule="auto"/>
        <w:ind w:firstLine="284"/>
        <w:jc w:val="both"/>
        <w:outlineLvl w:val="0"/>
        <w:rPr>
          <w:rStyle w:val="ts-overline"/>
          <w:rFonts w:ascii="Arial Narrow" w:hAnsi="Arial Narrow"/>
          <w:b w:val="0"/>
          <w:sz w:val="22"/>
          <w:szCs w:val="22"/>
        </w:rPr>
      </w:pPr>
      <w:bookmarkStart w:id="1" w:name="_Toc463084863"/>
      <w:r w:rsidRPr="00696396">
        <w:rPr>
          <w:rStyle w:val="ts-overline"/>
          <w:rFonts w:ascii="Arial Narrow" w:hAnsi="Arial Narrow"/>
          <w:b w:val="0"/>
          <w:sz w:val="22"/>
          <w:szCs w:val="22"/>
        </w:rPr>
        <w:t>Textes</w:t>
      </w:r>
      <w:bookmarkEnd w:id="1"/>
      <w:r w:rsidRPr="00696396">
        <w:rPr>
          <w:rStyle w:val="ts-overline"/>
          <w:rFonts w:ascii="Arial Narrow" w:hAnsi="Arial Narrow"/>
          <w:b w:val="0"/>
          <w:sz w:val="22"/>
          <w:szCs w:val="22"/>
        </w:rPr>
        <w:t xml:space="preserve"> </w:t>
      </w:r>
    </w:p>
    <w:p w:rsidR="00026810" w:rsidRPr="00696396" w:rsidRDefault="00026810" w:rsidP="00026810">
      <w:pPr>
        <w:pStyle w:val="S2"/>
        <w:spacing w:after="0" w:line="240" w:lineRule="auto"/>
        <w:ind w:firstLine="284"/>
        <w:jc w:val="both"/>
        <w:outlineLvl w:val="0"/>
        <w:rPr>
          <w:rFonts w:ascii="Arial Narrow" w:hAnsi="Arial Narrow"/>
          <w:bCs/>
          <w:vanish/>
          <w:sz w:val="22"/>
          <w:szCs w:val="22"/>
        </w:rPr>
      </w:pPr>
      <w:r w:rsidRPr="00696396">
        <w:rPr>
          <w:rStyle w:val="ts-overline"/>
          <w:rFonts w:ascii="Arial Narrow" w:hAnsi="Arial Narrow"/>
          <w:bCs/>
          <w:sz w:val="22"/>
          <w:szCs w:val="22"/>
        </w:rPr>
        <w:t>Bavière</w:t>
      </w:r>
    </w:p>
    <w:p w:rsidR="00026810" w:rsidRPr="00696396" w:rsidRDefault="00026810" w:rsidP="00026810">
      <w:pPr>
        <w:pStyle w:val="Titre1"/>
        <w:spacing w:before="0" w:line="240" w:lineRule="auto"/>
        <w:ind w:firstLine="284"/>
        <w:jc w:val="both"/>
        <w:rPr>
          <w:color w:val="000000" w:themeColor="text1"/>
          <w:sz w:val="22"/>
          <w:szCs w:val="22"/>
        </w:rPr>
      </w:pPr>
      <w:r w:rsidRPr="00696396">
        <w:rPr>
          <w:color w:val="000000" w:themeColor="text1"/>
          <w:sz w:val="22"/>
          <w:szCs w:val="22"/>
        </w:rPr>
        <w:t>Pollution en Allemagne: prison possible mais strictement encadrée</w:t>
      </w:r>
    </w:p>
    <w:p w:rsidR="00026810" w:rsidRPr="00696396" w:rsidRDefault="00026810" w:rsidP="00026810">
      <w:pPr>
        <w:ind w:firstLine="284"/>
        <w:jc w:val="both"/>
        <w:rPr>
          <w:rFonts w:ascii="Arial Narrow" w:hAnsi="Arial Narrow"/>
          <w:sz w:val="22"/>
          <w:szCs w:val="22"/>
        </w:rPr>
      </w:pPr>
      <w:proofErr w:type="gramStart"/>
      <w:r w:rsidRPr="00696396">
        <w:rPr>
          <w:rFonts w:ascii="Arial Narrow" w:hAnsi="Arial Narrow"/>
          <w:sz w:val="22"/>
          <w:szCs w:val="22"/>
        </w:rPr>
        <w:t>jeu</w:t>
      </w:r>
      <w:proofErr w:type="gramEnd"/>
      <w:r w:rsidRPr="00696396">
        <w:rPr>
          <w:rFonts w:ascii="Arial Narrow" w:hAnsi="Arial Narrow"/>
          <w:sz w:val="22"/>
          <w:szCs w:val="22"/>
        </w:rPr>
        <w:t xml:space="preserve">, 19/12/2019 - 11:25 - AFP </w:t>
      </w:r>
    </w:p>
    <w:p w:rsidR="00026810" w:rsidRPr="00696396" w:rsidRDefault="00026810" w:rsidP="00026810">
      <w:pPr>
        <w:pStyle w:val="field-teaser"/>
        <w:spacing w:before="0" w:beforeAutospacing="0" w:after="0" w:afterAutospacing="0"/>
        <w:ind w:firstLine="284"/>
        <w:jc w:val="both"/>
        <w:rPr>
          <w:rFonts w:ascii="Arial Narrow" w:hAnsi="Arial Narrow"/>
          <w:sz w:val="22"/>
          <w:szCs w:val="22"/>
        </w:rPr>
      </w:pPr>
      <w:r w:rsidRPr="00696396">
        <w:rPr>
          <w:rFonts w:ascii="Arial Narrow" w:hAnsi="Arial Narrow"/>
          <w:sz w:val="22"/>
          <w:szCs w:val="22"/>
        </w:rPr>
        <w:t xml:space="preserve">La justice européenne n'a pas écarté jeudi la possibilité de peine de prison à l'égard de responsables politiques bavarois qui n'ont pas remédié à la pollution de l'air, tout en soulignant que cela nécessitait une loi précise et le respect du principe de proportionnalité. </w:t>
      </w:r>
    </w:p>
    <w:p w:rsidR="00026810" w:rsidRPr="00696396" w:rsidRDefault="00026810" w:rsidP="00026810">
      <w:pPr>
        <w:pStyle w:val="NormalWeb"/>
        <w:spacing w:after="0"/>
        <w:ind w:firstLine="284"/>
        <w:jc w:val="both"/>
        <w:rPr>
          <w:rFonts w:ascii="Arial Narrow" w:hAnsi="Arial Narrow"/>
          <w:sz w:val="22"/>
          <w:szCs w:val="22"/>
          <w:lang w:val="fr-FR"/>
        </w:rPr>
      </w:pPr>
      <w:r w:rsidRPr="00696396">
        <w:rPr>
          <w:rFonts w:ascii="Arial Narrow" w:hAnsi="Arial Narrow"/>
          <w:sz w:val="22"/>
          <w:szCs w:val="22"/>
          <w:lang w:val="fr-FR"/>
        </w:rPr>
        <w:t>In fine, la justice allemande devra déterminer si ces conditions sont remplies pour décider des peines encourues, estime la Cour de justice de l'Union européenne (CJUE).</w:t>
      </w:r>
    </w:p>
    <w:p w:rsidR="00026810" w:rsidRPr="00696396" w:rsidRDefault="00026810" w:rsidP="00026810">
      <w:pPr>
        <w:pStyle w:val="NormalWeb"/>
        <w:spacing w:after="0"/>
        <w:ind w:firstLine="284"/>
        <w:jc w:val="both"/>
        <w:rPr>
          <w:rFonts w:ascii="Arial Narrow" w:hAnsi="Arial Narrow"/>
          <w:sz w:val="22"/>
          <w:szCs w:val="22"/>
          <w:lang w:val="fr-FR"/>
        </w:rPr>
      </w:pPr>
      <w:r w:rsidRPr="00696396">
        <w:rPr>
          <w:rFonts w:ascii="Arial Narrow" w:hAnsi="Arial Narrow"/>
          <w:sz w:val="22"/>
          <w:szCs w:val="22"/>
          <w:lang w:val="fr-FR"/>
        </w:rPr>
        <w:t xml:space="preserve">L'institution, basée à Luxembourg, s'est prononcée sur un cas emblématique en </w:t>
      </w:r>
      <w:proofErr w:type="gramStart"/>
      <w:r w:rsidRPr="00696396">
        <w:rPr>
          <w:rFonts w:ascii="Arial Narrow" w:hAnsi="Arial Narrow"/>
          <w:sz w:val="22"/>
          <w:szCs w:val="22"/>
          <w:lang w:val="fr-FR"/>
        </w:rPr>
        <w:t>Allemagne:</w:t>
      </w:r>
      <w:proofErr w:type="gramEnd"/>
      <w:r w:rsidRPr="00696396">
        <w:rPr>
          <w:rFonts w:ascii="Arial Narrow" w:hAnsi="Arial Narrow"/>
          <w:sz w:val="22"/>
          <w:szCs w:val="22"/>
          <w:lang w:val="fr-FR"/>
        </w:rPr>
        <w:t xml:space="preserve"> l'opportunité de condamner à de la prison des responsables publics en Bavière afin de les contraindre à respecter une décision de justice qui les enjoint à prévoir des interdictions de circulation pour les véhicules à moteurs diesel à Munich.</w:t>
      </w:r>
    </w:p>
    <w:p w:rsidR="00026810" w:rsidRPr="00696396" w:rsidRDefault="00026810" w:rsidP="00026810">
      <w:pPr>
        <w:pStyle w:val="NormalWeb"/>
        <w:spacing w:after="0"/>
        <w:ind w:firstLine="284"/>
        <w:jc w:val="both"/>
        <w:rPr>
          <w:rFonts w:ascii="Arial Narrow" w:hAnsi="Arial Narrow"/>
          <w:sz w:val="22"/>
          <w:szCs w:val="22"/>
          <w:lang w:val="fr-FR"/>
        </w:rPr>
      </w:pPr>
      <w:r w:rsidRPr="00696396">
        <w:rPr>
          <w:rFonts w:ascii="Arial Narrow" w:hAnsi="Arial Narrow"/>
          <w:sz w:val="22"/>
          <w:szCs w:val="22"/>
          <w:lang w:val="fr-FR"/>
        </w:rPr>
        <w:t>Le prononcé d'une telle peine ne peut intervenir "que s'il existe à cette fin une base légale nationale accessible, précise et prévisible, et si cette contrainte est proportionnée", explique la Cour dans un communiqué de presse.</w:t>
      </w:r>
    </w:p>
    <w:p w:rsidR="00026810" w:rsidRPr="00696396" w:rsidRDefault="00026810" w:rsidP="00026810">
      <w:pPr>
        <w:pStyle w:val="NormalWeb"/>
        <w:spacing w:after="0"/>
        <w:ind w:firstLine="284"/>
        <w:jc w:val="both"/>
        <w:rPr>
          <w:rFonts w:ascii="Arial Narrow" w:hAnsi="Arial Narrow"/>
          <w:sz w:val="22"/>
          <w:szCs w:val="22"/>
          <w:lang w:val="fr-FR"/>
        </w:rPr>
      </w:pPr>
      <w:r w:rsidRPr="00696396">
        <w:rPr>
          <w:rFonts w:ascii="Arial Narrow" w:hAnsi="Arial Narrow"/>
          <w:sz w:val="22"/>
          <w:szCs w:val="22"/>
          <w:lang w:val="fr-FR"/>
        </w:rPr>
        <w:t>Dans ses conclusions, l'avocat général de la CJUE avait argumenté qu'une telle législation ne semblait pas exister en Allemagne à l'égard de responsables publics.</w:t>
      </w:r>
    </w:p>
    <w:p w:rsidR="00026810" w:rsidRPr="00696396" w:rsidRDefault="00026810" w:rsidP="00026810">
      <w:pPr>
        <w:pStyle w:val="NormalWeb"/>
        <w:spacing w:after="0"/>
        <w:ind w:firstLine="284"/>
        <w:jc w:val="both"/>
        <w:rPr>
          <w:rFonts w:ascii="Arial Narrow" w:hAnsi="Arial Narrow"/>
          <w:sz w:val="22"/>
          <w:szCs w:val="22"/>
          <w:lang w:val="fr-FR"/>
        </w:rPr>
      </w:pPr>
      <w:r w:rsidRPr="00696396">
        <w:rPr>
          <w:rFonts w:ascii="Arial Narrow" w:hAnsi="Arial Narrow"/>
          <w:sz w:val="22"/>
          <w:szCs w:val="22"/>
          <w:lang w:val="fr-FR"/>
        </w:rPr>
        <w:t>La CJUE a été sollicitée par le tribunal administratif de Bavière (sud-est de l'Allemagne) qui s'interrogeait sur l'opportunité d'infliger des peines d'emprisonnement pour s'assurer de l'application d'une décision de justice.</w:t>
      </w:r>
    </w:p>
    <w:p w:rsidR="00026810" w:rsidRPr="00696396" w:rsidRDefault="00026810" w:rsidP="00026810">
      <w:pPr>
        <w:pStyle w:val="NormalWeb"/>
        <w:spacing w:after="0"/>
        <w:ind w:firstLine="284"/>
        <w:jc w:val="both"/>
        <w:rPr>
          <w:rFonts w:ascii="Arial Narrow" w:hAnsi="Arial Narrow"/>
          <w:sz w:val="22"/>
          <w:szCs w:val="22"/>
          <w:lang w:val="fr-FR"/>
        </w:rPr>
      </w:pPr>
      <w:r w:rsidRPr="00696396">
        <w:rPr>
          <w:rFonts w:ascii="Arial Narrow" w:hAnsi="Arial Narrow"/>
          <w:sz w:val="22"/>
          <w:szCs w:val="22"/>
          <w:lang w:val="fr-FR"/>
        </w:rPr>
        <w:t>Dans ce cas en effet, l'imposition d'astreintes financières n'est pas coercitive, car le paiement des amendes revient de facto dans les caisses du Land de Bavière, et n'entraîne donc pas de perte pour l'administration.</w:t>
      </w:r>
    </w:p>
    <w:p w:rsidR="00026810" w:rsidRPr="00696396" w:rsidRDefault="00026810" w:rsidP="00026810">
      <w:pPr>
        <w:pStyle w:val="NormalWeb"/>
        <w:spacing w:after="0"/>
        <w:ind w:firstLine="284"/>
        <w:jc w:val="both"/>
        <w:rPr>
          <w:rFonts w:ascii="Arial Narrow" w:hAnsi="Arial Narrow"/>
          <w:sz w:val="22"/>
          <w:szCs w:val="22"/>
          <w:lang w:val="fr-FR"/>
        </w:rPr>
      </w:pPr>
      <w:r w:rsidRPr="00696396">
        <w:rPr>
          <w:rFonts w:ascii="Arial Narrow" w:hAnsi="Arial Narrow"/>
          <w:sz w:val="22"/>
          <w:szCs w:val="22"/>
          <w:lang w:val="fr-FR"/>
        </w:rPr>
        <w:t xml:space="preserve">L'affaire remonte à une plainte déposée en 2012 par une ONG environnementale allemande, Deutsche </w:t>
      </w:r>
      <w:proofErr w:type="spellStart"/>
      <w:r w:rsidRPr="00696396">
        <w:rPr>
          <w:rFonts w:ascii="Arial Narrow" w:hAnsi="Arial Narrow"/>
          <w:sz w:val="22"/>
          <w:szCs w:val="22"/>
          <w:lang w:val="fr-FR"/>
        </w:rPr>
        <w:t>Umwelthilfe</w:t>
      </w:r>
      <w:proofErr w:type="spellEnd"/>
      <w:r w:rsidRPr="00696396">
        <w:rPr>
          <w:rFonts w:ascii="Arial Narrow" w:hAnsi="Arial Narrow"/>
          <w:sz w:val="22"/>
          <w:szCs w:val="22"/>
          <w:lang w:val="fr-FR"/>
        </w:rPr>
        <w:t xml:space="preserve"> (DUH), bête noire de l'industrie automobile. Le Land de Bavière a été condamné trois fois dans cette affaire, notamment en 2017 au paiement d'une astreinte de 4.000 euros, qu'il a acquittée.</w:t>
      </w:r>
    </w:p>
    <w:p w:rsidR="00026810" w:rsidRPr="00696396" w:rsidRDefault="00026810" w:rsidP="00026810">
      <w:pPr>
        <w:pStyle w:val="NormalWeb"/>
        <w:spacing w:after="0"/>
        <w:ind w:firstLine="284"/>
        <w:jc w:val="both"/>
        <w:rPr>
          <w:rFonts w:ascii="Arial Narrow" w:hAnsi="Arial Narrow"/>
          <w:sz w:val="22"/>
          <w:szCs w:val="22"/>
          <w:lang w:val="fr-FR"/>
        </w:rPr>
      </w:pPr>
      <w:r w:rsidRPr="00696396">
        <w:rPr>
          <w:rFonts w:ascii="Arial Narrow" w:hAnsi="Arial Narrow"/>
          <w:sz w:val="22"/>
          <w:szCs w:val="22"/>
          <w:lang w:val="fr-FR"/>
        </w:rPr>
        <w:t xml:space="preserve">Mais devant le refus constant du Land de se conformer aux injonctions, Deutsche </w:t>
      </w:r>
      <w:proofErr w:type="spellStart"/>
      <w:r w:rsidRPr="00696396">
        <w:rPr>
          <w:rFonts w:ascii="Arial Narrow" w:hAnsi="Arial Narrow"/>
          <w:sz w:val="22"/>
          <w:szCs w:val="22"/>
          <w:lang w:val="fr-FR"/>
        </w:rPr>
        <w:t>Umwelthilfe</w:t>
      </w:r>
      <w:proofErr w:type="spellEnd"/>
      <w:r w:rsidRPr="00696396">
        <w:rPr>
          <w:rFonts w:ascii="Arial Narrow" w:hAnsi="Arial Narrow"/>
          <w:sz w:val="22"/>
          <w:szCs w:val="22"/>
          <w:lang w:val="fr-FR"/>
        </w:rPr>
        <w:t xml:space="preserve"> a introduit un nouveau recours demandant non seulement une nouvelle astreinte, mais aussi l'emprisonnement de la ministre régionale de l'Environnement, voire du ministre-président.</w:t>
      </w:r>
    </w:p>
    <w:p w:rsidR="00026810" w:rsidRPr="00696396" w:rsidRDefault="00026810" w:rsidP="00026810">
      <w:pPr>
        <w:pStyle w:val="NormalWeb"/>
        <w:spacing w:after="0"/>
        <w:ind w:firstLine="284"/>
        <w:jc w:val="both"/>
        <w:rPr>
          <w:rFonts w:ascii="Arial Narrow" w:hAnsi="Arial Narrow"/>
          <w:sz w:val="22"/>
          <w:szCs w:val="22"/>
          <w:lang w:val="fr-FR"/>
        </w:rPr>
      </w:pPr>
      <w:r w:rsidRPr="00696396">
        <w:rPr>
          <w:rFonts w:ascii="Arial Narrow" w:hAnsi="Arial Narrow"/>
          <w:sz w:val="22"/>
          <w:szCs w:val="22"/>
          <w:lang w:val="fr-FR"/>
        </w:rPr>
        <w:t>Pour la Cour il incombe au tribunal bavarois de se prononcer sur "la contrainte par corps", mais pour cela "il doit exister, en droit interne, une base légale suffisamment accessible, précise et prévisible".</w:t>
      </w:r>
    </w:p>
    <w:p w:rsidR="00026810" w:rsidRPr="00696396" w:rsidRDefault="00026810" w:rsidP="00026810">
      <w:pPr>
        <w:pStyle w:val="NormalWeb"/>
        <w:spacing w:after="0"/>
        <w:ind w:firstLine="284"/>
        <w:jc w:val="both"/>
        <w:rPr>
          <w:rFonts w:ascii="Arial Narrow" w:hAnsi="Arial Narrow"/>
          <w:sz w:val="22"/>
          <w:szCs w:val="22"/>
          <w:lang w:val="fr-FR"/>
        </w:rPr>
      </w:pPr>
      <w:r w:rsidRPr="00696396">
        <w:rPr>
          <w:rFonts w:ascii="Arial Narrow" w:hAnsi="Arial Narrow"/>
          <w:sz w:val="22"/>
          <w:szCs w:val="22"/>
          <w:lang w:val="fr-FR"/>
        </w:rPr>
        <w:t>Par ailleurs, souligne l'arrêt, une peine d'emprisonnement ne peut être prononcée "que lorsqu'il n'existe aucune mesure moins contraignante", comme par exemple des astreintes d'un montant élevé, répétées, dont le paiement ne se ferait pas au profit du budget du Land.</w:t>
      </w:r>
    </w:p>
    <w:p w:rsidR="00026810" w:rsidRPr="00696396" w:rsidRDefault="00026810" w:rsidP="00026810">
      <w:pPr>
        <w:ind w:firstLine="284"/>
        <w:jc w:val="both"/>
        <w:rPr>
          <w:rFonts w:ascii="Arial Narrow" w:hAnsi="Arial Narrow"/>
          <w:sz w:val="22"/>
          <w:szCs w:val="22"/>
        </w:rPr>
      </w:pPr>
      <w:hyperlink r:id="rId4" w:history="1">
        <w:r w:rsidRPr="00696396">
          <w:rPr>
            <w:rStyle w:val="Lienhypertexte"/>
            <w:rFonts w:ascii="Arial Narrow" w:hAnsi="Arial Narrow"/>
            <w:sz w:val="22"/>
            <w:szCs w:val="22"/>
          </w:rPr>
          <w:t>https://www.am-today.com/article/pollution-en-allemagne-prison-possible-mais-strictement-encadree</w:t>
        </w:r>
      </w:hyperlink>
      <w:r w:rsidRPr="00696396">
        <w:rPr>
          <w:rFonts w:ascii="Arial Narrow" w:hAnsi="Arial Narrow"/>
          <w:sz w:val="22"/>
          <w:szCs w:val="22"/>
        </w:rPr>
        <w:t xml:space="preserve">  </w:t>
      </w:r>
    </w:p>
    <w:p w:rsidR="00026810" w:rsidRPr="00026810" w:rsidRDefault="00026810" w:rsidP="00026810">
      <w:pPr>
        <w:pStyle w:val="chapo"/>
        <w:spacing w:before="0" w:beforeAutospacing="0" w:after="0" w:afterAutospacing="0"/>
        <w:ind w:firstLine="284"/>
        <w:jc w:val="both"/>
        <w:rPr>
          <w:rFonts w:ascii="Arial Narrow" w:hAnsi="Arial Narrow"/>
          <w:sz w:val="22"/>
          <w:szCs w:val="22"/>
        </w:rPr>
      </w:pPr>
    </w:p>
    <w:p w:rsidR="00026810" w:rsidRPr="00026810" w:rsidRDefault="00026810" w:rsidP="00026810">
      <w:pPr>
        <w:pStyle w:val="chapo"/>
        <w:spacing w:before="0" w:beforeAutospacing="0" w:after="0" w:afterAutospacing="0"/>
        <w:ind w:firstLine="284"/>
        <w:jc w:val="both"/>
        <w:rPr>
          <w:rFonts w:ascii="Arial Narrow" w:hAnsi="Arial Narrow"/>
          <w:sz w:val="22"/>
          <w:szCs w:val="22"/>
        </w:rPr>
      </w:pPr>
      <w:r w:rsidRPr="00696396">
        <w:rPr>
          <w:rFonts w:ascii="Arial Narrow" w:hAnsi="Arial Narrow"/>
          <w:sz w:val="22"/>
          <w:szCs w:val="22"/>
        </w:rPr>
        <w:fldChar w:fldCharType="begin"/>
      </w:r>
      <w:r w:rsidRPr="00026810">
        <w:rPr>
          <w:rFonts w:ascii="Arial Narrow" w:hAnsi="Arial Narrow"/>
          <w:sz w:val="22"/>
          <w:szCs w:val="22"/>
        </w:rPr>
        <w:instrText xml:space="preserve"> HYPERLINK "https://www.sueddeutsche.de/politik/eu-luxembourg-bayern-und-umwelthilfe-streit-ueber-politiker-zwangshaft-dpa.urn-newsml-dpa-com-20090101-190903-99-727516" </w:instrText>
      </w:r>
      <w:r w:rsidRPr="00696396">
        <w:rPr>
          <w:rFonts w:ascii="Arial Narrow" w:hAnsi="Arial Narrow"/>
          <w:sz w:val="22"/>
          <w:szCs w:val="22"/>
        </w:rPr>
        <w:fldChar w:fldCharType="separate"/>
      </w:r>
      <w:r w:rsidRPr="00026810">
        <w:rPr>
          <w:rStyle w:val="Lienhypertexte"/>
          <w:rFonts w:ascii="Arial Narrow" w:hAnsi="Arial Narrow"/>
          <w:sz w:val="22"/>
          <w:szCs w:val="22"/>
        </w:rPr>
        <w:t>https://www.sueddeutsche.de/politik/eu-luxembourg-bayern-und-umwelthilfe-streit-ueber-politiker-zwangshaft-dpa.urn-newsml-dpa-com-20090101-190903-99-727516</w:t>
      </w:r>
      <w:r w:rsidRPr="00696396">
        <w:rPr>
          <w:rFonts w:ascii="Arial Narrow" w:hAnsi="Arial Narrow"/>
          <w:sz w:val="22"/>
          <w:szCs w:val="22"/>
        </w:rPr>
        <w:fldChar w:fldCharType="end"/>
      </w:r>
      <w:r w:rsidRPr="00026810">
        <w:rPr>
          <w:rFonts w:ascii="Arial Narrow" w:hAnsi="Arial Narrow"/>
          <w:sz w:val="22"/>
          <w:szCs w:val="22"/>
        </w:rPr>
        <w:t xml:space="preserve"> </w:t>
      </w:r>
    </w:p>
    <w:p w:rsidR="00026810" w:rsidRPr="00696396" w:rsidRDefault="00026810" w:rsidP="00026810">
      <w:pPr>
        <w:pStyle w:val="S2"/>
        <w:spacing w:after="0" w:line="240" w:lineRule="auto"/>
        <w:ind w:firstLine="284"/>
        <w:jc w:val="both"/>
        <w:outlineLvl w:val="0"/>
        <w:rPr>
          <w:rFonts w:ascii="Arial Narrow" w:hAnsi="Arial Narrow"/>
          <w:bCs/>
          <w:vanish/>
          <w:sz w:val="22"/>
          <w:szCs w:val="22"/>
        </w:rPr>
      </w:pPr>
      <w:r w:rsidRPr="00696396">
        <w:rPr>
          <w:rStyle w:val="ts-overline"/>
          <w:rFonts w:ascii="Arial Narrow" w:hAnsi="Arial Narrow"/>
          <w:bCs/>
          <w:sz w:val="22"/>
          <w:szCs w:val="22"/>
        </w:rPr>
        <w:t>San Marino</w:t>
      </w:r>
    </w:p>
    <w:p w:rsidR="00026810" w:rsidRPr="00696396" w:rsidRDefault="00026810" w:rsidP="00026810">
      <w:pPr>
        <w:ind w:firstLine="284"/>
        <w:jc w:val="both"/>
        <w:outlineLvl w:val="0"/>
        <w:rPr>
          <w:rFonts w:ascii="Arial Narrow" w:hAnsi="Arial Narrow"/>
          <w:kern w:val="36"/>
          <w:sz w:val="22"/>
          <w:szCs w:val="22"/>
        </w:rPr>
      </w:pPr>
      <w:r w:rsidRPr="00696396">
        <w:rPr>
          <w:rFonts w:ascii="Arial Narrow" w:hAnsi="Arial Narrow"/>
          <w:kern w:val="36"/>
          <w:sz w:val="22"/>
          <w:szCs w:val="22"/>
        </w:rPr>
        <w:t>Comment Saint-Marin lutte-t-elle contre le coronavirus ?</w:t>
      </w:r>
    </w:p>
    <w:p w:rsidR="00026810" w:rsidRPr="00696396" w:rsidRDefault="00026810" w:rsidP="00026810">
      <w:pPr>
        <w:ind w:firstLine="284"/>
        <w:jc w:val="both"/>
        <w:rPr>
          <w:rFonts w:ascii="Arial Narrow" w:hAnsi="Arial Narrow"/>
          <w:sz w:val="22"/>
          <w:szCs w:val="22"/>
        </w:rPr>
      </w:pPr>
      <w:r w:rsidRPr="00696396">
        <w:rPr>
          <w:rFonts w:ascii="Arial Narrow" w:hAnsi="Arial Narrow"/>
          <w:sz w:val="22"/>
          <w:szCs w:val="22"/>
        </w:rPr>
        <w:t xml:space="preserve">Par </w:t>
      </w:r>
      <w:hyperlink r:id="rId5" w:history="1">
        <w:r w:rsidRPr="00696396">
          <w:rPr>
            <w:rFonts w:ascii="Arial Narrow" w:hAnsi="Arial Narrow"/>
            <w:color w:val="0000FF"/>
            <w:sz w:val="22"/>
            <w:szCs w:val="22"/>
            <w:u w:val="single"/>
          </w:rPr>
          <w:t xml:space="preserve">Ronan de </w:t>
        </w:r>
        <w:proofErr w:type="spellStart"/>
        <w:r w:rsidRPr="00696396">
          <w:rPr>
            <w:rFonts w:ascii="Arial Narrow" w:hAnsi="Arial Narrow"/>
            <w:color w:val="0000FF"/>
            <w:sz w:val="22"/>
            <w:szCs w:val="22"/>
            <w:u w:val="single"/>
          </w:rPr>
          <w:t>Keranflec'h</w:t>
        </w:r>
        <w:proofErr w:type="spellEnd"/>
      </w:hyperlink>
      <w:r w:rsidRPr="00696396">
        <w:rPr>
          <w:rFonts w:ascii="Arial Narrow" w:hAnsi="Arial Narrow"/>
          <w:sz w:val="22"/>
          <w:szCs w:val="22"/>
        </w:rPr>
        <w:t xml:space="preserve"> | Publié le 06/11/2020 à </w:t>
      </w:r>
      <w:proofErr w:type="gramStart"/>
      <w:r w:rsidRPr="00696396">
        <w:rPr>
          <w:rFonts w:ascii="Arial Narrow" w:hAnsi="Arial Narrow"/>
          <w:sz w:val="22"/>
          <w:szCs w:val="22"/>
        </w:rPr>
        <w:t>16:</w:t>
      </w:r>
      <w:proofErr w:type="gramEnd"/>
      <w:r w:rsidRPr="00696396">
        <w:rPr>
          <w:rFonts w:ascii="Arial Narrow" w:hAnsi="Arial Narrow"/>
          <w:sz w:val="22"/>
          <w:szCs w:val="22"/>
        </w:rPr>
        <w:t>39 | Mis à jour le 06/11/2020 à 16:41</w:t>
      </w:r>
    </w:p>
    <w:p w:rsidR="00026810" w:rsidRPr="00696396" w:rsidRDefault="00026810" w:rsidP="00026810">
      <w:pPr>
        <w:ind w:firstLine="284"/>
        <w:jc w:val="both"/>
        <w:rPr>
          <w:rFonts w:ascii="Arial Narrow" w:hAnsi="Arial Narrow"/>
          <w:sz w:val="22"/>
          <w:szCs w:val="22"/>
        </w:rPr>
      </w:pPr>
      <w:r w:rsidRPr="00696396">
        <w:rPr>
          <w:rFonts w:ascii="Arial Narrow" w:hAnsi="Arial Narrow"/>
          <w:sz w:val="22"/>
          <w:szCs w:val="22"/>
        </w:rPr>
        <w:t xml:space="preserve">Le petit État suit ses propres règles face à une augmentation lente mais constante des </w:t>
      </w:r>
      <w:proofErr w:type="spellStart"/>
      <w:proofErr w:type="gramStart"/>
      <w:r w:rsidRPr="00696396">
        <w:rPr>
          <w:rFonts w:ascii="Arial Narrow" w:hAnsi="Arial Narrow"/>
          <w:sz w:val="22"/>
          <w:szCs w:val="22"/>
        </w:rPr>
        <w:t>contaminations.Saint</w:t>
      </w:r>
      <w:proofErr w:type="gramEnd"/>
      <w:r w:rsidRPr="00696396">
        <w:rPr>
          <w:rFonts w:ascii="Arial Narrow" w:hAnsi="Arial Narrow"/>
          <w:sz w:val="22"/>
          <w:szCs w:val="22"/>
        </w:rPr>
        <w:t>-Marin</w:t>
      </w:r>
      <w:proofErr w:type="spellEnd"/>
      <w:r w:rsidRPr="00696396">
        <w:rPr>
          <w:rFonts w:ascii="Arial Narrow" w:hAnsi="Arial Narrow"/>
          <w:sz w:val="22"/>
          <w:szCs w:val="22"/>
        </w:rPr>
        <w:t xml:space="preserve"> a été fortement touchée depuis le début de la pandémie en perdant 42 de ses habitants. Comme chez son voisin, les contagions reprennent. Sur la dernière semaine, 49 nouveaux cas ont été dénombrés et 239 personnes doivent rester isolées. Toutefois seuls 8 patients sont hospitalisés et dans cette même période, 24 guérisons ont été recensées. Les mesures demeurent pour le moment peu contraignantes.</w:t>
      </w:r>
    </w:p>
    <w:p w:rsidR="00026810" w:rsidRPr="00696396" w:rsidRDefault="00026810" w:rsidP="00026810">
      <w:pPr>
        <w:ind w:firstLine="284"/>
        <w:jc w:val="both"/>
        <w:rPr>
          <w:rFonts w:ascii="Arial Narrow" w:hAnsi="Arial Narrow"/>
          <w:sz w:val="22"/>
          <w:szCs w:val="22"/>
        </w:rPr>
      </w:pPr>
      <w:r w:rsidRPr="00696396">
        <w:rPr>
          <w:rFonts w:ascii="Arial Narrow" w:hAnsi="Arial Narrow"/>
          <w:sz w:val="22"/>
          <w:szCs w:val="22"/>
        </w:rPr>
        <w:t xml:space="preserve">Fin octobre les services sanitaires ont décrété l’entrée en vigueur de la deuxième phase sur les trois prévues par le document « urgence sanitaire – épidémie d’urgence ». Les règles visent en particulier à organiser au mieux l’accès aux différents services hospitaliers en limitant les contagions. L’enjeu est de poursuivre l’ouverture des services de santé et parvenir à rattraper les rendez-vous qui n’ont pu avoir lieu de mars à mai. Malgré ces mesures, la République est passée dans sa phase ultime de lutte sanitaire il y a quelques jours et le service </w:t>
      </w:r>
      <w:proofErr w:type="spellStart"/>
      <w:r w:rsidRPr="00696396">
        <w:rPr>
          <w:rFonts w:ascii="Arial Narrow" w:hAnsi="Arial Narrow"/>
          <w:sz w:val="22"/>
          <w:szCs w:val="22"/>
        </w:rPr>
        <w:t>covid</w:t>
      </w:r>
      <w:proofErr w:type="spellEnd"/>
      <w:r w:rsidRPr="00696396">
        <w:rPr>
          <w:rFonts w:ascii="Arial Narrow" w:hAnsi="Arial Narrow"/>
          <w:sz w:val="22"/>
          <w:szCs w:val="22"/>
        </w:rPr>
        <w:t xml:space="preserve"> de l’hôpital central de Saint-Marin a dû rouvrir.</w:t>
      </w:r>
    </w:p>
    <w:p w:rsidR="00026810" w:rsidRPr="00696396" w:rsidRDefault="00026810" w:rsidP="00026810">
      <w:pPr>
        <w:ind w:firstLine="284"/>
        <w:jc w:val="both"/>
        <w:rPr>
          <w:rFonts w:ascii="Arial Narrow" w:hAnsi="Arial Narrow"/>
          <w:sz w:val="22"/>
          <w:szCs w:val="22"/>
        </w:rPr>
      </w:pPr>
      <w:r w:rsidRPr="00696396">
        <w:rPr>
          <w:rFonts w:ascii="Arial Narrow" w:hAnsi="Arial Narrow"/>
          <w:sz w:val="22"/>
          <w:szCs w:val="22"/>
        </w:rPr>
        <w:t xml:space="preserve">Cependant la politique du gouvernement continue de privilégier l’accroissement des contrôles plutôt que les contraintes sur l’ouverture des activités économiques. Le refus d’instaurer la fermeture des bars et restaurants à 18h a provoqué la colère des commerçants de Romagne proches de la frontière. Les habitants de la province de Rimini se plaignent de concurrence déloyale. Mais le secrétaire d'État au travail </w:t>
      </w:r>
      <w:proofErr w:type="spellStart"/>
      <w:r w:rsidRPr="00696396">
        <w:rPr>
          <w:rFonts w:ascii="Arial Narrow" w:hAnsi="Arial Narrow"/>
          <w:sz w:val="22"/>
          <w:szCs w:val="22"/>
        </w:rPr>
        <w:t>Teodoro</w:t>
      </w:r>
      <w:proofErr w:type="spellEnd"/>
      <w:r w:rsidRPr="00696396">
        <w:rPr>
          <w:rFonts w:ascii="Arial Narrow" w:hAnsi="Arial Narrow"/>
          <w:sz w:val="22"/>
          <w:szCs w:val="22"/>
        </w:rPr>
        <w:t xml:space="preserve"> </w:t>
      </w:r>
      <w:proofErr w:type="spellStart"/>
      <w:r w:rsidRPr="00696396">
        <w:rPr>
          <w:rFonts w:ascii="Arial Narrow" w:hAnsi="Arial Narrow"/>
          <w:sz w:val="22"/>
          <w:szCs w:val="22"/>
        </w:rPr>
        <w:t>Lonfernini</w:t>
      </w:r>
      <w:proofErr w:type="spellEnd"/>
      <w:r w:rsidRPr="00696396">
        <w:rPr>
          <w:rFonts w:ascii="Arial Narrow" w:hAnsi="Arial Narrow"/>
          <w:sz w:val="22"/>
          <w:szCs w:val="22"/>
        </w:rPr>
        <w:t xml:space="preserve"> insiste sur le </w:t>
      </w:r>
      <w:r w:rsidRPr="00696396">
        <w:rPr>
          <w:rFonts w:ascii="Arial Narrow" w:hAnsi="Arial Narrow"/>
          <w:sz w:val="22"/>
          <w:szCs w:val="22"/>
        </w:rPr>
        <w:lastRenderedPageBreak/>
        <w:t>fait que les établissements accueillant du public étant en nombre limité, il est plus facile de les contrôler à Saint-Marin.</w:t>
      </w:r>
    </w:p>
    <w:p w:rsidR="00026810" w:rsidRPr="00696396" w:rsidRDefault="00026810" w:rsidP="00026810">
      <w:pPr>
        <w:ind w:firstLine="284"/>
        <w:jc w:val="both"/>
        <w:rPr>
          <w:rFonts w:ascii="Arial Narrow" w:hAnsi="Arial Narrow"/>
          <w:sz w:val="22"/>
          <w:szCs w:val="22"/>
        </w:rPr>
      </w:pPr>
      <w:r w:rsidRPr="00696396">
        <w:rPr>
          <w:rFonts w:ascii="Arial Narrow" w:hAnsi="Arial Narrow"/>
          <w:sz w:val="22"/>
          <w:szCs w:val="22"/>
        </w:rPr>
        <w:t>L’ampleur de la campagne de tests permet également à la république de faire face à la maladie. En effet, jusqu’au 4 novembre le nombre de tests effectués s’élevait à 11 257, une quantité remarquable comparée aux 34 000 habitants. De plus le programme de vaccination contre la grippe a remporté un franc succès et permet d’aborder l’hiver avec plus de sérénité puisque plus de 500 vaccins par semaine ont été administrés à des adultes de plus de 60 ans ou appartenant à des catégories à risque.</w:t>
      </w:r>
    </w:p>
    <w:p w:rsidR="00026810" w:rsidRPr="00696396" w:rsidRDefault="00026810" w:rsidP="00026810">
      <w:pPr>
        <w:ind w:firstLine="284"/>
        <w:jc w:val="both"/>
        <w:rPr>
          <w:rFonts w:ascii="Arial Narrow" w:hAnsi="Arial Narrow"/>
          <w:sz w:val="22"/>
          <w:szCs w:val="22"/>
        </w:rPr>
      </w:pPr>
      <w:r w:rsidRPr="00696396">
        <w:rPr>
          <w:rFonts w:ascii="Arial Narrow" w:hAnsi="Arial Narrow"/>
          <w:sz w:val="22"/>
          <w:szCs w:val="22"/>
        </w:rPr>
        <w:fldChar w:fldCharType="begin"/>
      </w:r>
      <w:r w:rsidRPr="00696396">
        <w:rPr>
          <w:rFonts w:ascii="Arial Narrow" w:hAnsi="Arial Narrow"/>
          <w:sz w:val="22"/>
          <w:szCs w:val="22"/>
        </w:rPr>
        <w:instrText xml:space="preserve"> HYPERLINK "https://lepetitjournal.com/rome/comprendre-italie/comment-saint-marin-lutte-t-elle-contre-le-coronavirus-291793" </w:instrText>
      </w:r>
      <w:r w:rsidRPr="00696396">
        <w:rPr>
          <w:rFonts w:ascii="Arial Narrow" w:hAnsi="Arial Narrow"/>
          <w:sz w:val="22"/>
          <w:szCs w:val="22"/>
        </w:rPr>
        <w:fldChar w:fldCharType="separate"/>
      </w:r>
      <w:r w:rsidRPr="00696396">
        <w:rPr>
          <w:rStyle w:val="Lienhypertexte"/>
          <w:rFonts w:ascii="Arial Narrow" w:hAnsi="Arial Narrow"/>
          <w:sz w:val="22"/>
          <w:szCs w:val="22"/>
        </w:rPr>
        <w:t>https://lepetitjournal.com/rome/comprendre-italie/comment-saint-marin-lutte-t-elle-contre-le-coronavirus-291793</w:t>
      </w:r>
      <w:r w:rsidRPr="00696396">
        <w:rPr>
          <w:rFonts w:ascii="Arial Narrow" w:hAnsi="Arial Narrow"/>
          <w:sz w:val="22"/>
          <w:szCs w:val="22"/>
        </w:rPr>
        <w:fldChar w:fldCharType="end"/>
      </w:r>
      <w:r w:rsidRPr="00696396">
        <w:rPr>
          <w:rFonts w:ascii="Arial Narrow" w:hAnsi="Arial Narrow"/>
          <w:sz w:val="22"/>
          <w:szCs w:val="22"/>
        </w:rPr>
        <w:t xml:space="preserve"> </w:t>
      </w:r>
    </w:p>
    <w:p w:rsidR="00026810" w:rsidRPr="00696396" w:rsidRDefault="00026810" w:rsidP="00026810">
      <w:pPr>
        <w:pStyle w:val="chapo"/>
        <w:spacing w:before="0" w:beforeAutospacing="0" w:after="0" w:afterAutospacing="0"/>
        <w:ind w:firstLine="284"/>
        <w:jc w:val="both"/>
        <w:rPr>
          <w:rFonts w:ascii="Arial Narrow" w:hAnsi="Arial Narrow"/>
          <w:sz w:val="22"/>
          <w:szCs w:val="22"/>
        </w:rPr>
      </w:pPr>
      <w:hyperlink r:id="rId6" w:history="1">
        <w:r w:rsidRPr="00696396">
          <w:rPr>
            <w:rStyle w:val="Lienhypertexte"/>
            <w:rFonts w:ascii="Arial Narrow" w:hAnsi="Arial Narrow"/>
            <w:sz w:val="22"/>
            <w:szCs w:val="22"/>
          </w:rPr>
          <w:t>https://giornalesm.com/san-marino-limmigrazione-sammarinese-negli-usa-tagliatella-connection/?cn-reloaded=1</w:t>
        </w:r>
      </w:hyperlink>
      <w:r w:rsidRPr="00696396">
        <w:rPr>
          <w:rFonts w:ascii="Arial Narrow" w:hAnsi="Arial Narrow"/>
          <w:sz w:val="22"/>
          <w:szCs w:val="22"/>
        </w:rPr>
        <w:t xml:space="preserve"> </w:t>
      </w:r>
    </w:p>
    <w:p w:rsidR="00026810" w:rsidRPr="00696396" w:rsidRDefault="00026810" w:rsidP="00026810">
      <w:pPr>
        <w:pStyle w:val="chapo"/>
        <w:spacing w:before="0" w:beforeAutospacing="0" w:after="0" w:afterAutospacing="0"/>
        <w:ind w:firstLine="284"/>
        <w:jc w:val="both"/>
        <w:rPr>
          <w:rFonts w:ascii="Arial Narrow" w:hAnsi="Arial Narrow"/>
          <w:sz w:val="22"/>
          <w:szCs w:val="22"/>
        </w:rPr>
      </w:pPr>
      <w:hyperlink r:id="rId7" w:history="1">
        <w:r w:rsidRPr="00696396">
          <w:rPr>
            <w:rStyle w:val="Lienhypertexte"/>
            <w:rFonts w:ascii="Arial Narrow" w:hAnsi="Arial Narrow"/>
            <w:sz w:val="22"/>
            <w:szCs w:val="22"/>
          </w:rPr>
          <w:t>https://sanmarinortv.sm/news/comunicati-c9/indipendenza-sammarinese-le-tagliatelle-a-san-marino-sono-piu-buone-a196291</w:t>
        </w:r>
      </w:hyperlink>
      <w:r w:rsidRPr="00696396">
        <w:rPr>
          <w:rFonts w:ascii="Arial Narrow" w:hAnsi="Arial Narrow"/>
          <w:sz w:val="22"/>
          <w:szCs w:val="22"/>
        </w:rPr>
        <w:t xml:space="preserve"> </w:t>
      </w:r>
    </w:p>
    <w:p w:rsidR="00026810" w:rsidRPr="008D3AE2" w:rsidRDefault="00026810" w:rsidP="00026810">
      <w:pPr>
        <w:pStyle w:val="chapo"/>
        <w:spacing w:before="0" w:beforeAutospacing="0" w:after="0" w:afterAutospacing="0"/>
        <w:ind w:firstLine="284"/>
        <w:jc w:val="both"/>
        <w:rPr>
          <w:rFonts w:ascii="Arial Narrow" w:hAnsi="Arial Narrow"/>
        </w:rPr>
      </w:pPr>
      <w:hyperlink r:id="rId8" w:history="1">
        <w:r w:rsidRPr="00673009">
          <w:rPr>
            <w:rStyle w:val="Lienhypertexte"/>
            <w:rFonts w:ascii="Arial Narrow" w:hAnsi="Arial Narrow"/>
          </w:rPr>
          <w:t>https://www.coe.int/en/web/greco/evaluations/san-marino</w:t>
        </w:r>
      </w:hyperlink>
      <w:r>
        <w:rPr>
          <w:rFonts w:ascii="Arial Narrow" w:hAnsi="Arial Narrow"/>
        </w:rPr>
        <w:t xml:space="preserve"> </w:t>
      </w:r>
    </w:p>
    <w:p w:rsidR="00D25D80" w:rsidRDefault="00D25D80"/>
    <w:sectPr w:rsidR="00D25D80" w:rsidSect="007E74E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10"/>
    <w:rsid w:val="00026810"/>
    <w:rsid w:val="007E74E6"/>
    <w:rsid w:val="00D25D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13E3E-D8EF-C54A-9B19-7D3B815D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10"/>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026810"/>
    <w:pPr>
      <w:keepNext/>
      <w:keepLines/>
      <w:spacing w:before="480" w:line="288" w:lineRule="auto"/>
      <w:outlineLvl w:val="0"/>
    </w:pPr>
    <w:rPr>
      <w:rFonts w:ascii="Arial Narrow" w:hAnsi="Arial Narrow"/>
      <w:b/>
      <w:bCs/>
      <w:color w:val="A6A6A6"/>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6810"/>
    <w:rPr>
      <w:rFonts w:ascii="Arial Narrow" w:eastAsia="Times New Roman" w:hAnsi="Arial Narrow" w:cs="Times New Roman"/>
      <w:b/>
      <w:bCs/>
      <w:color w:val="A6A6A6"/>
      <w:sz w:val="28"/>
      <w:szCs w:val="28"/>
      <w:lang w:val="x-none" w:eastAsia="x-none"/>
    </w:rPr>
  </w:style>
  <w:style w:type="character" w:styleId="Lienhypertexte">
    <w:name w:val="Hyperlink"/>
    <w:uiPriority w:val="99"/>
    <w:unhideWhenUsed/>
    <w:rsid w:val="00026810"/>
    <w:rPr>
      <w:color w:val="5F5F5F"/>
      <w:u w:val="single"/>
    </w:rPr>
  </w:style>
  <w:style w:type="paragraph" w:styleId="NormalWeb">
    <w:name w:val="Normal (Web)"/>
    <w:basedOn w:val="Normal"/>
    <w:uiPriority w:val="99"/>
    <w:unhideWhenUsed/>
    <w:rsid w:val="00026810"/>
    <w:pPr>
      <w:spacing w:after="83"/>
    </w:pPr>
    <w:rPr>
      <w:lang w:val="de-DE" w:eastAsia="de-DE"/>
    </w:rPr>
  </w:style>
  <w:style w:type="paragraph" w:customStyle="1" w:styleId="S1">
    <w:name w:val="ÜS 1"/>
    <w:basedOn w:val="Normal"/>
    <w:rsid w:val="00026810"/>
    <w:pPr>
      <w:keepNext/>
      <w:keepLines/>
      <w:spacing w:after="120" w:line="340" w:lineRule="exact"/>
      <w:ind w:firstLine="170"/>
      <w:jc w:val="center"/>
    </w:pPr>
    <w:rPr>
      <w:rFonts w:ascii="Garamond" w:hAnsi="Garamond"/>
      <w:b/>
      <w:smallCaps/>
      <w:sz w:val="32"/>
      <w:szCs w:val="20"/>
    </w:rPr>
  </w:style>
  <w:style w:type="paragraph" w:customStyle="1" w:styleId="S2">
    <w:name w:val="ÜS 2"/>
    <w:basedOn w:val="S1"/>
    <w:rsid w:val="00026810"/>
    <w:rPr>
      <w:smallCaps w:val="0"/>
      <w:sz w:val="30"/>
    </w:rPr>
  </w:style>
  <w:style w:type="character" w:customStyle="1" w:styleId="ts-overline">
    <w:name w:val="ts-overline"/>
    <w:basedOn w:val="Policepardfaut"/>
    <w:rsid w:val="00026810"/>
  </w:style>
  <w:style w:type="paragraph" w:customStyle="1" w:styleId="chapo">
    <w:name w:val="chapo"/>
    <w:basedOn w:val="Normal"/>
    <w:rsid w:val="00026810"/>
    <w:pPr>
      <w:spacing w:before="100" w:beforeAutospacing="1" w:after="100" w:afterAutospacing="1"/>
    </w:pPr>
    <w:rPr>
      <w:sz w:val="20"/>
      <w:szCs w:val="20"/>
    </w:rPr>
  </w:style>
  <w:style w:type="paragraph" w:customStyle="1" w:styleId="field-teaser">
    <w:name w:val="field-teaser"/>
    <w:basedOn w:val="Normal"/>
    <w:rsid w:val="00026810"/>
    <w:pPr>
      <w:spacing w:before="100" w:beforeAutospacing="1" w:after="100" w:afterAutospacing="1"/>
    </w:pPr>
  </w:style>
  <w:style w:type="character" w:styleId="Lienhypertextesuivivisit">
    <w:name w:val="FollowedHyperlink"/>
    <w:basedOn w:val="Policepardfaut"/>
    <w:uiPriority w:val="99"/>
    <w:semiHidden/>
    <w:unhideWhenUsed/>
    <w:rsid w:val="000268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greco/evaluations/san-marino" TargetMode="External"/><Relationship Id="rId3" Type="http://schemas.openxmlformats.org/officeDocument/2006/relationships/webSettings" Target="webSettings.xml"/><Relationship Id="rId7" Type="http://schemas.openxmlformats.org/officeDocument/2006/relationships/hyperlink" Target="https://sanmarinortv.sm/news/comunicati-c9/indipendenza-sammarinese-le-tagliatelle-a-san-marino-sono-piu-buone-a1962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ornalesm.com/san-marino-limmigrazione-sammarinese-negli-usa-tagliatella-connection/?cn-reloaded=1" TargetMode="External"/><Relationship Id="rId5" Type="http://schemas.openxmlformats.org/officeDocument/2006/relationships/hyperlink" Target="https://lepetitjournal.com/ronan-de-keranflech-288660" TargetMode="External"/><Relationship Id="rId10" Type="http://schemas.openxmlformats.org/officeDocument/2006/relationships/theme" Target="theme/theme1.xml"/><Relationship Id="rId4" Type="http://schemas.openxmlformats.org/officeDocument/2006/relationships/hyperlink" Target="https://www.am-today.com/article/pollution-en-allemagne-prison-possible-mais-strictement-encadree"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1025</Words>
  <Characters>5642</Characters>
  <Application>Microsoft Office Word</Application>
  <DocSecurity>0</DocSecurity>
  <Lines>47</Lines>
  <Paragraphs>13</Paragraphs>
  <ScaleCrop>false</ScaleCrop>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2020-11-12T15:45:00Z</dcterms:created>
  <dcterms:modified xsi:type="dcterms:W3CDTF">2020-11-12T15:46:00Z</dcterms:modified>
</cp:coreProperties>
</file>