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2FF5" w14:textId="77777777" w:rsidR="001214FA" w:rsidRPr="003309D0" w:rsidRDefault="001214FA" w:rsidP="001214FA">
      <w:pPr>
        <w:rPr>
          <w:rFonts w:ascii="Century Gothic" w:hAnsi="Century Gothic"/>
          <w:b/>
          <w:sz w:val="18"/>
          <w:szCs w:val="18"/>
        </w:rPr>
      </w:pPr>
      <w:r w:rsidRPr="003309D0">
        <w:rPr>
          <w:rFonts w:ascii="Century Gothic" w:hAnsi="Century Gothic"/>
          <w:b/>
          <w:sz w:val="18"/>
          <w:szCs w:val="18"/>
        </w:rPr>
        <w:t>Exercice 6 : BFR et Ratios de BFR</w:t>
      </w:r>
    </w:p>
    <w:p w14:paraId="315F9203" w14:textId="77777777" w:rsidR="001214FA" w:rsidRPr="003309D0" w:rsidRDefault="001214FA" w:rsidP="001214FA">
      <w:pPr>
        <w:rPr>
          <w:rFonts w:ascii="Century Gothic" w:hAnsi="Century Gothic"/>
          <w:b/>
          <w:sz w:val="18"/>
          <w:szCs w:val="18"/>
        </w:rPr>
      </w:pPr>
      <w:r w:rsidRPr="003309D0">
        <w:rPr>
          <w:rFonts w:ascii="Century Gothic" w:hAnsi="Century Gothic"/>
          <w:b/>
          <w:sz w:val="18"/>
          <w:szCs w:val="18"/>
        </w:rPr>
        <w:t>Stock matières et approvisionnement</w:t>
      </w:r>
    </w:p>
    <w:p w14:paraId="3A7145EC" w14:textId="77777777" w:rsidR="001214FA" w:rsidRPr="003309D0" w:rsidRDefault="001214FA" w:rsidP="001214FA">
      <w:pPr>
        <w:rPr>
          <w:rFonts w:ascii="Century Gothic" w:hAnsi="Century Gothic"/>
          <w:bCs/>
          <w:sz w:val="18"/>
          <w:szCs w:val="18"/>
        </w:rPr>
      </w:pPr>
      <w:r w:rsidRPr="003309D0">
        <w:rPr>
          <w:rFonts w:ascii="Century Gothic" w:hAnsi="Century Gothic"/>
          <w:bCs/>
          <w:sz w:val="18"/>
          <w:szCs w:val="18"/>
        </w:rPr>
        <w:t>Stock moyen : (24 000 + 32 000)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 w:rsidRPr="003309D0">
        <w:rPr>
          <w:rFonts w:ascii="Century Gothic" w:hAnsi="Century Gothic"/>
          <w:bCs/>
          <w:sz w:val="18"/>
          <w:szCs w:val="18"/>
        </w:rPr>
        <w:t>/2 = 28 000</w:t>
      </w:r>
    </w:p>
    <w:p w14:paraId="2694377E" w14:textId="77777777" w:rsidR="001214FA" w:rsidRPr="003309D0" w:rsidRDefault="001214FA" w:rsidP="001214FA">
      <w:pPr>
        <w:rPr>
          <w:rFonts w:ascii="Century Gothic" w:hAnsi="Century Gothic"/>
          <w:bCs/>
          <w:sz w:val="18"/>
          <w:szCs w:val="18"/>
        </w:rPr>
      </w:pPr>
      <w:r w:rsidRPr="003309D0">
        <w:rPr>
          <w:rFonts w:ascii="Century Gothic" w:hAnsi="Century Gothic"/>
          <w:bCs/>
          <w:sz w:val="18"/>
          <w:szCs w:val="18"/>
        </w:rPr>
        <w:t>Matières consommées : 252 600 +24 000 – 32 000 = 244 600</w:t>
      </w:r>
    </w:p>
    <w:p w14:paraId="1F219E90" w14:textId="77777777" w:rsidR="001214FA" w:rsidRPr="003309D0" w:rsidRDefault="001214FA" w:rsidP="001214FA">
      <w:pPr>
        <w:rPr>
          <w:rFonts w:ascii="Century Gothic" w:hAnsi="Century Gothic"/>
          <w:bCs/>
          <w:sz w:val="18"/>
          <w:szCs w:val="18"/>
        </w:rPr>
      </w:pPr>
      <w:r w:rsidRPr="003309D0">
        <w:rPr>
          <w:rFonts w:ascii="Century Gothic" w:hAnsi="Century Gothic"/>
          <w:bCs/>
          <w:sz w:val="18"/>
          <w:szCs w:val="18"/>
        </w:rPr>
        <w:t>Durée d’écoulement : (28 000 x 360)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 w:rsidRPr="003309D0">
        <w:rPr>
          <w:rFonts w:ascii="Century Gothic" w:hAnsi="Century Gothic"/>
          <w:bCs/>
          <w:sz w:val="18"/>
          <w:szCs w:val="18"/>
        </w:rPr>
        <w:t>/ 244 600 = 41,21 jours</w:t>
      </w:r>
    </w:p>
    <w:p w14:paraId="67CCC038" w14:textId="77777777" w:rsidR="001214FA" w:rsidRPr="003309D0" w:rsidRDefault="001214FA" w:rsidP="001214FA">
      <w:pPr>
        <w:rPr>
          <w:rFonts w:ascii="Century Gothic" w:hAnsi="Century Gothic"/>
          <w:b/>
          <w:sz w:val="18"/>
          <w:szCs w:val="18"/>
        </w:rPr>
      </w:pPr>
      <w:r w:rsidRPr="003309D0">
        <w:rPr>
          <w:rFonts w:ascii="Century Gothic" w:hAnsi="Century Gothic"/>
          <w:b/>
          <w:sz w:val="18"/>
          <w:szCs w:val="18"/>
        </w:rPr>
        <w:t>Stock matières de produits finis</w:t>
      </w:r>
    </w:p>
    <w:p w14:paraId="34F7103E" w14:textId="77777777" w:rsidR="001214FA" w:rsidRPr="003309D0" w:rsidRDefault="001214FA" w:rsidP="001214FA">
      <w:pPr>
        <w:rPr>
          <w:rFonts w:ascii="Century Gothic" w:hAnsi="Century Gothic"/>
          <w:bCs/>
          <w:sz w:val="18"/>
          <w:szCs w:val="18"/>
        </w:rPr>
      </w:pPr>
      <w:r w:rsidRPr="003309D0">
        <w:rPr>
          <w:rFonts w:ascii="Century Gothic" w:hAnsi="Century Gothic"/>
          <w:bCs/>
          <w:sz w:val="18"/>
          <w:szCs w:val="18"/>
        </w:rPr>
        <w:t>Stock moyen : (226 000 + 240 000)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 w:rsidRPr="003309D0">
        <w:rPr>
          <w:rFonts w:ascii="Century Gothic" w:hAnsi="Century Gothic"/>
          <w:bCs/>
          <w:sz w:val="18"/>
          <w:szCs w:val="18"/>
        </w:rPr>
        <w:t>/2 = 233 000</w:t>
      </w:r>
    </w:p>
    <w:p w14:paraId="0536E395" w14:textId="77777777" w:rsidR="001214FA" w:rsidRPr="003309D0" w:rsidRDefault="001214FA" w:rsidP="001214FA">
      <w:pPr>
        <w:rPr>
          <w:rFonts w:ascii="Century Gothic" w:hAnsi="Century Gothic"/>
          <w:bCs/>
          <w:sz w:val="18"/>
          <w:szCs w:val="18"/>
        </w:rPr>
      </w:pPr>
      <w:r w:rsidRPr="003309D0">
        <w:rPr>
          <w:rFonts w:ascii="Century Gothic" w:hAnsi="Century Gothic"/>
          <w:bCs/>
          <w:sz w:val="18"/>
          <w:szCs w:val="18"/>
        </w:rPr>
        <w:t>Matières consommées : 1 242 000 + 226 000 – 240 000 = 1 228 000</w:t>
      </w:r>
    </w:p>
    <w:p w14:paraId="25C5826E" w14:textId="77777777" w:rsidR="001214FA" w:rsidRPr="003309D0" w:rsidRDefault="001214FA" w:rsidP="001214FA">
      <w:pPr>
        <w:rPr>
          <w:rFonts w:ascii="Century Gothic" w:hAnsi="Century Gothic"/>
          <w:bCs/>
          <w:sz w:val="18"/>
          <w:szCs w:val="18"/>
        </w:rPr>
      </w:pPr>
      <w:r w:rsidRPr="003309D0">
        <w:rPr>
          <w:rFonts w:ascii="Century Gothic" w:hAnsi="Century Gothic"/>
          <w:bCs/>
          <w:sz w:val="18"/>
          <w:szCs w:val="18"/>
        </w:rPr>
        <w:t>Durée d’écoulement : (233 000 x 360)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 w:rsidRPr="003309D0">
        <w:rPr>
          <w:rFonts w:ascii="Century Gothic" w:hAnsi="Century Gothic"/>
          <w:bCs/>
          <w:sz w:val="18"/>
          <w:szCs w:val="18"/>
        </w:rPr>
        <w:t>/ 1 228 000 = 68,31 jours</w:t>
      </w:r>
    </w:p>
    <w:p w14:paraId="25296B63" w14:textId="77777777" w:rsidR="001214FA" w:rsidRPr="003309D0" w:rsidRDefault="001214FA" w:rsidP="001214FA">
      <w:pPr>
        <w:rPr>
          <w:rFonts w:ascii="Century Gothic" w:hAnsi="Century Gothic"/>
          <w:bCs/>
          <w:sz w:val="18"/>
          <w:szCs w:val="18"/>
        </w:rPr>
      </w:pPr>
      <w:r w:rsidRPr="003309D0">
        <w:rPr>
          <w:rFonts w:ascii="Century Gothic" w:hAnsi="Century Gothic"/>
          <w:b/>
          <w:sz w:val="18"/>
          <w:szCs w:val="18"/>
        </w:rPr>
        <w:t xml:space="preserve">Clients et comptes rattachés </w:t>
      </w:r>
    </w:p>
    <w:p w14:paraId="41097BFF" w14:textId="77777777" w:rsidR="001214FA" w:rsidRPr="003309D0" w:rsidRDefault="001214FA" w:rsidP="001214FA">
      <w:pPr>
        <w:rPr>
          <w:rFonts w:ascii="Century Gothic" w:hAnsi="Century Gothic"/>
          <w:bCs/>
          <w:sz w:val="18"/>
          <w:szCs w:val="18"/>
        </w:rPr>
      </w:pPr>
      <w:r w:rsidRPr="003309D0">
        <w:rPr>
          <w:rFonts w:ascii="Century Gothic" w:hAnsi="Century Gothic"/>
          <w:bCs/>
          <w:sz w:val="18"/>
          <w:szCs w:val="18"/>
        </w:rPr>
        <w:t xml:space="preserve">« Clients » est un poste TTC </w:t>
      </w:r>
      <w:r w:rsidRPr="003309D0">
        <w:rPr>
          <w:rFonts w:ascii="Century Gothic" w:hAnsi="Century Gothic"/>
          <w:bCs/>
          <w:sz w:val="18"/>
          <w:szCs w:val="18"/>
        </w:rPr>
        <w:sym w:font="Wingdings" w:char="F0E8"/>
      </w:r>
      <w:r w:rsidRPr="003309D0">
        <w:rPr>
          <w:rFonts w:ascii="Century Gothic" w:hAnsi="Century Gothic"/>
          <w:bCs/>
          <w:sz w:val="18"/>
          <w:szCs w:val="18"/>
        </w:rPr>
        <w:t xml:space="preserve"> le dénominateur doit aussi être TTC</w:t>
      </w:r>
    </w:p>
    <w:p w14:paraId="23E6C6F8" w14:textId="77777777" w:rsidR="001214FA" w:rsidRPr="003309D0" w:rsidRDefault="001214FA" w:rsidP="001214FA">
      <w:pPr>
        <w:rPr>
          <w:rFonts w:ascii="Century Gothic" w:hAnsi="Century Gothic"/>
          <w:bCs/>
          <w:sz w:val="18"/>
          <w:szCs w:val="18"/>
        </w:rPr>
      </w:pPr>
      <w:proofErr w:type="gramStart"/>
      <w:r w:rsidRPr="003309D0">
        <w:rPr>
          <w:rFonts w:ascii="Century Gothic" w:hAnsi="Century Gothic"/>
          <w:bCs/>
          <w:sz w:val="18"/>
          <w:szCs w:val="18"/>
        </w:rPr>
        <w:t>d</w:t>
      </w:r>
      <w:proofErr w:type="gramEnd"/>
      <w:r w:rsidRPr="003309D0">
        <w:rPr>
          <w:rFonts w:ascii="Century Gothic" w:hAnsi="Century Gothic"/>
          <w:bCs/>
          <w:sz w:val="18"/>
          <w:szCs w:val="18"/>
        </w:rPr>
        <w:t xml:space="preserve"> = [(208 300+ 39 500) x 360)/ (2 040 000  x 1,2) = 36,4 jours </w:t>
      </w:r>
    </w:p>
    <w:p w14:paraId="676BF00F" w14:textId="77777777" w:rsidR="001214FA" w:rsidRPr="003309D0" w:rsidRDefault="001214FA" w:rsidP="001214FA">
      <w:pPr>
        <w:rPr>
          <w:rFonts w:ascii="Century Gothic" w:hAnsi="Century Gothic"/>
          <w:bCs/>
          <w:sz w:val="18"/>
          <w:szCs w:val="18"/>
        </w:rPr>
      </w:pPr>
      <w:r w:rsidRPr="003309D0">
        <w:rPr>
          <w:rFonts w:ascii="Century Gothic" w:hAnsi="Century Gothic"/>
          <w:b/>
          <w:sz w:val="18"/>
          <w:szCs w:val="18"/>
        </w:rPr>
        <w:t xml:space="preserve">Fournisseurs et comptes rattachés </w:t>
      </w:r>
    </w:p>
    <w:p w14:paraId="32E552BB" w14:textId="77777777" w:rsidR="001214FA" w:rsidRPr="003309D0" w:rsidRDefault="001214FA" w:rsidP="001214FA">
      <w:pPr>
        <w:rPr>
          <w:rFonts w:ascii="Century Gothic" w:hAnsi="Century Gothic"/>
          <w:bCs/>
          <w:sz w:val="18"/>
          <w:szCs w:val="18"/>
        </w:rPr>
      </w:pPr>
      <w:r w:rsidRPr="003309D0">
        <w:rPr>
          <w:rFonts w:ascii="Century Gothic" w:hAnsi="Century Gothic"/>
          <w:bCs/>
          <w:sz w:val="18"/>
          <w:szCs w:val="18"/>
        </w:rPr>
        <w:t xml:space="preserve">« Fournisseurs » est un poste TTC </w:t>
      </w:r>
      <w:r w:rsidRPr="003309D0">
        <w:rPr>
          <w:rFonts w:ascii="Century Gothic" w:hAnsi="Century Gothic"/>
          <w:bCs/>
          <w:sz w:val="18"/>
          <w:szCs w:val="18"/>
        </w:rPr>
        <w:sym w:font="Wingdings" w:char="F0E8"/>
      </w:r>
      <w:r w:rsidRPr="003309D0">
        <w:rPr>
          <w:rFonts w:ascii="Century Gothic" w:hAnsi="Century Gothic"/>
          <w:bCs/>
          <w:sz w:val="18"/>
          <w:szCs w:val="18"/>
        </w:rPr>
        <w:t xml:space="preserve"> le dénominateur doit aussi être TTC</w:t>
      </w:r>
    </w:p>
    <w:p w14:paraId="22A39D43" w14:textId="77777777" w:rsidR="001214FA" w:rsidRPr="003309D0" w:rsidRDefault="001214FA" w:rsidP="001214FA">
      <w:pPr>
        <w:rPr>
          <w:rFonts w:ascii="Century Gothic" w:hAnsi="Century Gothic"/>
          <w:bCs/>
          <w:sz w:val="18"/>
          <w:szCs w:val="18"/>
        </w:rPr>
      </w:pPr>
      <w:proofErr w:type="gramStart"/>
      <w:r w:rsidRPr="003309D0">
        <w:rPr>
          <w:rFonts w:ascii="Century Gothic" w:hAnsi="Century Gothic"/>
          <w:bCs/>
          <w:sz w:val="18"/>
          <w:szCs w:val="18"/>
        </w:rPr>
        <w:t>d</w:t>
      </w:r>
      <w:proofErr w:type="gramEnd"/>
      <w:r w:rsidRPr="003309D0">
        <w:rPr>
          <w:rFonts w:ascii="Century Gothic" w:hAnsi="Century Gothic"/>
          <w:bCs/>
          <w:sz w:val="18"/>
          <w:szCs w:val="18"/>
        </w:rPr>
        <w:t xml:space="preserve"> = (59 800 x 360)/ [(252 600 + 180 400)  x 1,2)] = 41,4 jours </w:t>
      </w:r>
    </w:p>
    <w:p w14:paraId="79D4D832" w14:textId="77777777" w:rsidR="001214FA" w:rsidRPr="003309D0" w:rsidRDefault="001214FA" w:rsidP="001214FA">
      <w:pPr>
        <w:jc w:val="both"/>
        <w:rPr>
          <w:rFonts w:ascii="Century Gothic" w:hAnsi="Century Gothic"/>
          <w:bCs/>
          <w:sz w:val="18"/>
          <w:szCs w:val="18"/>
        </w:rPr>
      </w:pPr>
    </w:p>
    <w:p w14:paraId="7576F397" w14:textId="77777777" w:rsidR="001214FA" w:rsidRPr="003309D0" w:rsidRDefault="001214FA" w:rsidP="001214F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5B5B5B"/>
          <w:sz w:val="18"/>
          <w:szCs w:val="18"/>
        </w:rPr>
      </w:pPr>
      <w:r w:rsidRPr="003309D0">
        <w:rPr>
          <w:rFonts w:ascii="Century Gothic" w:hAnsi="Century Gothic" w:cs="Arial"/>
          <w:color w:val="5B5B5B"/>
          <w:sz w:val="18"/>
          <w:szCs w:val="18"/>
        </w:rPr>
        <w:t xml:space="preserve">Les durées d'écoulement ne </w:t>
      </w:r>
      <w:r w:rsidRPr="003309D0">
        <w:rPr>
          <w:rFonts w:ascii="Century Gothic" w:hAnsi="Century Gothic" w:cs="Arial"/>
          <w:color w:val="464646"/>
          <w:sz w:val="18"/>
          <w:szCs w:val="18"/>
        </w:rPr>
        <w:t xml:space="preserve">paraissent </w:t>
      </w:r>
      <w:r w:rsidRPr="003309D0">
        <w:rPr>
          <w:rFonts w:ascii="Century Gothic" w:hAnsi="Century Gothic" w:cs="Arial"/>
          <w:color w:val="5B5B5B"/>
          <w:sz w:val="18"/>
          <w:szCs w:val="18"/>
        </w:rPr>
        <w:t xml:space="preserve">pas excessives pour une entreprise industrielle et la durée du crédit Fournisseurs est supérieure </w:t>
      </w:r>
      <w:r w:rsidRPr="003309D0">
        <w:rPr>
          <w:rFonts w:ascii="Century Gothic" w:hAnsi="Century Gothic" w:cs="Times New Roman"/>
          <w:color w:val="5B5B5B"/>
          <w:sz w:val="18"/>
          <w:szCs w:val="18"/>
        </w:rPr>
        <w:t xml:space="preserve">à </w:t>
      </w:r>
      <w:r w:rsidRPr="003309D0">
        <w:rPr>
          <w:rFonts w:ascii="Century Gothic" w:hAnsi="Century Gothic" w:cs="Arial"/>
          <w:color w:val="5B5B5B"/>
          <w:sz w:val="18"/>
          <w:szCs w:val="18"/>
        </w:rPr>
        <w:t>celle accordée au</w:t>
      </w:r>
      <w:r>
        <w:rPr>
          <w:rFonts w:ascii="Century Gothic" w:hAnsi="Century Gothic" w:cs="Arial"/>
          <w:color w:val="5B5B5B"/>
          <w:sz w:val="18"/>
          <w:szCs w:val="18"/>
        </w:rPr>
        <w:t>x</w:t>
      </w:r>
      <w:r w:rsidRPr="003309D0">
        <w:rPr>
          <w:rFonts w:ascii="Century Gothic" w:hAnsi="Century Gothic" w:cs="Arial"/>
          <w:color w:val="5B5B5B"/>
          <w:sz w:val="18"/>
          <w:szCs w:val="18"/>
        </w:rPr>
        <w:t xml:space="preserve"> Clients, ce qui est positif.</w:t>
      </w:r>
    </w:p>
    <w:p w14:paraId="6F6BEAC1" w14:textId="77777777" w:rsidR="001214FA" w:rsidRPr="003309D0" w:rsidRDefault="001214FA" w:rsidP="001214F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5B5B5B"/>
          <w:sz w:val="18"/>
          <w:szCs w:val="18"/>
        </w:rPr>
      </w:pPr>
      <w:r w:rsidRPr="003309D0">
        <w:rPr>
          <w:rFonts w:ascii="Century Gothic" w:hAnsi="Century Gothic" w:cs="Arial"/>
          <w:color w:val="5B5B5B"/>
          <w:sz w:val="18"/>
          <w:szCs w:val="18"/>
        </w:rPr>
        <w:t xml:space="preserve">Toutefois, on constate une petite dégradation </w:t>
      </w:r>
      <w:r w:rsidRPr="003309D0">
        <w:rPr>
          <w:rFonts w:ascii="Century Gothic" w:hAnsi="Century Gothic" w:cs="Arial"/>
          <w:color w:val="464646"/>
          <w:sz w:val="18"/>
          <w:szCs w:val="18"/>
        </w:rPr>
        <w:t xml:space="preserve">par </w:t>
      </w:r>
      <w:r w:rsidRPr="003309D0">
        <w:rPr>
          <w:rFonts w:ascii="Century Gothic" w:hAnsi="Century Gothic" w:cs="Arial"/>
          <w:color w:val="5B5B5B"/>
          <w:sz w:val="18"/>
          <w:szCs w:val="18"/>
        </w:rPr>
        <w:t xml:space="preserve">rapport </w:t>
      </w:r>
      <w:r w:rsidRPr="003309D0">
        <w:rPr>
          <w:rFonts w:ascii="Century Gothic" w:hAnsi="Century Gothic" w:cs="Times New Roman"/>
          <w:color w:val="5B5B5B"/>
          <w:sz w:val="18"/>
          <w:szCs w:val="18"/>
        </w:rPr>
        <w:t xml:space="preserve">à </w:t>
      </w:r>
      <w:r w:rsidRPr="003309D0">
        <w:rPr>
          <w:rFonts w:ascii="Century Gothic" w:hAnsi="Century Gothic" w:cs="Arial"/>
          <w:color w:val="5B5B5B"/>
          <w:sz w:val="18"/>
          <w:szCs w:val="18"/>
        </w:rPr>
        <w:t xml:space="preserve">l'exercice précédent. La durée d'écoulement des stocks de produits finis a légèrement augmenté, ce qui </w:t>
      </w:r>
      <w:r w:rsidRPr="003309D0">
        <w:rPr>
          <w:rFonts w:ascii="Century Gothic" w:hAnsi="Century Gothic" w:cs="Arial"/>
          <w:color w:val="464646"/>
          <w:sz w:val="18"/>
          <w:szCs w:val="18"/>
        </w:rPr>
        <w:t xml:space="preserve">peut </w:t>
      </w:r>
      <w:r w:rsidRPr="003309D0">
        <w:rPr>
          <w:rFonts w:ascii="Century Gothic" w:hAnsi="Century Gothic" w:cs="Arial"/>
          <w:color w:val="5B5B5B"/>
          <w:sz w:val="18"/>
          <w:szCs w:val="18"/>
        </w:rPr>
        <w:t xml:space="preserve">traduire une difficulté </w:t>
      </w:r>
      <w:r w:rsidRPr="003309D0">
        <w:rPr>
          <w:rFonts w:ascii="Century Gothic" w:hAnsi="Century Gothic" w:cs="Times New Roman"/>
          <w:color w:val="5B5B5B"/>
          <w:sz w:val="18"/>
          <w:szCs w:val="18"/>
        </w:rPr>
        <w:t xml:space="preserve">à </w:t>
      </w:r>
      <w:r w:rsidRPr="003309D0">
        <w:rPr>
          <w:rFonts w:ascii="Century Gothic" w:hAnsi="Century Gothic" w:cs="Arial"/>
          <w:color w:val="5B5B5B"/>
          <w:sz w:val="18"/>
          <w:szCs w:val="18"/>
        </w:rPr>
        <w:t>écouler la fabrication. Une augmentation s'est également produite au niveau du stock de matières</w:t>
      </w:r>
      <w:r>
        <w:rPr>
          <w:rFonts w:ascii="Century Gothic" w:hAnsi="Century Gothic" w:cs="Arial"/>
          <w:color w:val="5B5B5B"/>
          <w:sz w:val="18"/>
          <w:szCs w:val="18"/>
        </w:rPr>
        <w:t xml:space="preserve"> </w:t>
      </w:r>
      <w:r w:rsidRPr="003309D0">
        <w:rPr>
          <w:rFonts w:ascii="Century Gothic" w:hAnsi="Century Gothic" w:cs="Arial"/>
          <w:color w:val="5B5B5B"/>
          <w:sz w:val="18"/>
          <w:szCs w:val="18"/>
        </w:rPr>
        <w:t>; ces dernières restent p</w:t>
      </w:r>
      <w:r w:rsidRPr="003309D0">
        <w:rPr>
          <w:rFonts w:ascii="Century Gothic" w:hAnsi="Century Gothic" w:cs="Arial"/>
          <w:color w:val="323232"/>
          <w:sz w:val="18"/>
          <w:szCs w:val="18"/>
        </w:rPr>
        <w:t>lu</w:t>
      </w:r>
      <w:r w:rsidRPr="003309D0">
        <w:rPr>
          <w:rFonts w:ascii="Century Gothic" w:hAnsi="Century Gothic" w:cs="Arial"/>
          <w:color w:val="5B5B5B"/>
          <w:sz w:val="18"/>
          <w:szCs w:val="18"/>
        </w:rPr>
        <w:t>s longtemps en stock avant d'être consommées.</w:t>
      </w:r>
    </w:p>
    <w:p w14:paraId="1A19D48B" w14:textId="77777777" w:rsidR="001214FA" w:rsidRPr="003309D0" w:rsidRDefault="001214FA" w:rsidP="001214F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18"/>
          <w:szCs w:val="18"/>
        </w:rPr>
      </w:pPr>
      <w:r w:rsidRPr="003309D0">
        <w:rPr>
          <w:rFonts w:ascii="Century Gothic" w:hAnsi="Century Gothic" w:cs="Arial"/>
          <w:color w:val="5B5B5B"/>
          <w:sz w:val="18"/>
          <w:szCs w:val="18"/>
        </w:rPr>
        <w:t xml:space="preserve">La durée du crédit accordé aux clients est un peu </w:t>
      </w:r>
      <w:r w:rsidRPr="003309D0">
        <w:rPr>
          <w:rFonts w:ascii="Century Gothic" w:hAnsi="Century Gothic" w:cs="Arial"/>
          <w:color w:val="464646"/>
          <w:sz w:val="18"/>
          <w:szCs w:val="18"/>
        </w:rPr>
        <w:t xml:space="preserve">plus </w:t>
      </w:r>
      <w:r w:rsidRPr="003309D0">
        <w:rPr>
          <w:rFonts w:ascii="Century Gothic" w:hAnsi="Century Gothic" w:cs="Arial"/>
          <w:color w:val="323232"/>
          <w:sz w:val="18"/>
          <w:szCs w:val="18"/>
        </w:rPr>
        <w:t>l</w:t>
      </w:r>
      <w:r w:rsidRPr="003309D0">
        <w:rPr>
          <w:rFonts w:ascii="Century Gothic" w:hAnsi="Century Gothic" w:cs="Arial"/>
          <w:color w:val="5B5B5B"/>
          <w:sz w:val="18"/>
          <w:szCs w:val="18"/>
        </w:rPr>
        <w:t xml:space="preserve">ongue, ce </w:t>
      </w:r>
      <w:r w:rsidRPr="003309D0">
        <w:rPr>
          <w:rFonts w:ascii="Century Gothic" w:hAnsi="Century Gothic" w:cs="Arial"/>
          <w:color w:val="464646"/>
          <w:sz w:val="18"/>
          <w:szCs w:val="18"/>
        </w:rPr>
        <w:t xml:space="preserve">que des </w:t>
      </w:r>
      <w:r w:rsidRPr="003309D0">
        <w:rPr>
          <w:rFonts w:ascii="Century Gothic" w:hAnsi="Century Gothic" w:cs="Arial"/>
          <w:color w:val="5B5B5B"/>
          <w:sz w:val="18"/>
          <w:szCs w:val="18"/>
        </w:rPr>
        <w:t>diff</w:t>
      </w:r>
      <w:r w:rsidRPr="003309D0">
        <w:rPr>
          <w:rFonts w:ascii="Century Gothic" w:hAnsi="Century Gothic" w:cs="Arial"/>
          <w:color w:val="323232"/>
          <w:sz w:val="18"/>
          <w:szCs w:val="18"/>
        </w:rPr>
        <w:t>i</w:t>
      </w:r>
      <w:r w:rsidRPr="003309D0">
        <w:rPr>
          <w:rFonts w:ascii="Century Gothic" w:hAnsi="Century Gothic" w:cs="Arial"/>
          <w:color w:val="5B5B5B"/>
          <w:sz w:val="18"/>
          <w:szCs w:val="18"/>
        </w:rPr>
        <w:t>cultés commer</w:t>
      </w:r>
      <w:r w:rsidRPr="003309D0">
        <w:rPr>
          <w:rFonts w:ascii="Century Gothic" w:hAnsi="Century Gothic" w:cs="Arial"/>
          <w:color w:val="727272"/>
          <w:sz w:val="18"/>
          <w:szCs w:val="18"/>
        </w:rPr>
        <w:t xml:space="preserve">ciales </w:t>
      </w:r>
      <w:r w:rsidRPr="003309D0">
        <w:rPr>
          <w:rFonts w:ascii="Century Gothic" w:hAnsi="Century Gothic" w:cs="Arial"/>
          <w:color w:val="5B5B5B"/>
          <w:sz w:val="18"/>
          <w:szCs w:val="18"/>
        </w:rPr>
        <w:t>pourraient expliquer, a</w:t>
      </w:r>
      <w:r w:rsidRPr="003309D0">
        <w:rPr>
          <w:rFonts w:ascii="Century Gothic" w:hAnsi="Century Gothic" w:cs="Arial"/>
          <w:color w:val="323232"/>
          <w:sz w:val="18"/>
          <w:szCs w:val="18"/>
        </w:rPr>
        <w:t>l</w:t>
      </w:r>
      <w:r w:rsidRPr="003309D0">
        <w:rPr>
          <w:rFonts w:ascii="Century Gothic" w:hAnsi="Century Gothic" w:cs="Arial"/>
          <w:color w:val="5B5B5B"/>
          <w:sz w:val="18"/>
          <w:szCs w:val="18"/>
        </w:rPr>
        <w:t xml:space="preserve">ors </w:t>
      </w:r>
      <w:r w:rsidRPr="003309D0">
        <w:rPr>
          <w:rFonts w:ascii="Century Gothic" w:hAnsi="Century Gothic" w:cs="Arial"/>
          <w:color w:val="464646"/>
          <w:sz w:val="18"/>
          <w:szCs w:val="18"/>
        </w:rPr>
        <w:t xml:space="preserve">que </w:t>
      </w:r>
      <w:r w:rsidRPr="003309D0">
        <w:rPr>
          <w:rFonts w:ascii="Century Gothic" w:hAnsi="Century Gothic" w:cs="Arial"/>
          <w:color w:val="5B5B5B"/>
          <w:sz w:val="18"/>
          <w:szCs w:val="18"/>
        </w:rPr>
        <w:t>le crédit obtenu des fournisseu</w:t>
      </w:r>
      <w:r w:rsidRPr="003309D0">
        <w:rPr>
          <w:rFonts w:ascii="Century Gothic" w:hAnsi="Century Gothic" w:cs="Arial"/>
          <w:color w:val="323232"/>
          <w:sz w:val="18"/>
          <w:szCs w:val="18"/>
        </w:rPr>
        <w:t>r</w:t>
      </w:r>
      <w:r w:rsidRPr="003309D0">
        <w:rPr>
          <w:rFonts w:ascii="Century Gothic" w:hAnsi="Century Gothic" w:cs="Arial"/>
          <w:color w:val="5B5B5B"/>
          <w:sz w:val="18"/>
          <w:szCs w:val="18"/>
        </w:rPr>
        <w:t xml:space="preserve">s a diminué. Sans être critique, la situation de </w:t>
      </w:r>
      <w:r w:rsidRPr="003309D0">
        <w:rPr>
          <w:rFonts w:ascii="Century Gothic" w:hAnsi="Century Gothic" w:cs="Arial"/>
          <w:color w:val="323232"/>
          <w:sz w:val="18"/>
          <w:szCs w:val="18"/>
        </w:rPr>
        <w:t>l</w:t>
      </w:r>
      <w:r w:rsidRPr="003309D0">
        <w:rPr>
          <w:rFonts w:ascii="Century Gothic" w:hAnsi="Century Gothic" w:cs="Arial"/>
          <w:color w:val="5B5B5B"/>
          <w:sz w:val="18"/>
          <w:szCs w:val="18"/>
        </w:rPr>
        <w:t xml:space="preserve">'entreprise a connu </w:t>
      </w:r>
      <w:r w:rsidRPr="003309D0">
        <w:rPr>
          <w:rFonts w:ascii="Century Gothic" w:hAnsi="Century Gothic" w:cs="Arial"/>
          <w:color w:val="464646"/>
          <w:sz w:val="18"/>
          <w:szCs w:val="18"/>
        </w:rPr>
        <w:t xml:space="preserve">une </w:t>
      </w:r>
      <w:r w:rsidRPr="003309D0">
        <w:rPr>
          <w:rFonts w:ascii="Century Gothic" w:hAnsi="Century Gothic" w:cs="Arial"/>
          <w:color w:val="5B5B5B"/>
          <w:sz w:val="18"/>
          <w:szCs w:val="18"/>
        </w:rPr>
        <w:t xml:space="preserve">évolution qui justifie </w:t>
      </w:r>
      <w:r w:rsidRPr="003309D0">
        <w:rPr>
          <w:rFonts w:ascii="Century Gothic" w:hAnsi="Century Gothic" w:cs="Arial"/>
          <w:color w:val="464646"/>
          <w:sz w:val="18"/>
          <w:szCs w:val="18"/>
        </w:rPr>
        <w:t xml:space="preserve">un </w:t>
      </w:r>
      <w:r w:rsidRPr="003309D0">
        <w:rPr>
          <w:rFonts w:ascii="Century Gothic" w:hAnsi="Century Gothic" w:cs="Arial"/>
          <w:color w:val="5B5B5B"/>
          <w:sz w:val="18"/>
          <w:szCs w:val="18"/>
        </w:rPr>
        <w:t>examen p</w:t>
      </w:r>
      <w:r w:rsidRPr="003309D0">
        <w:rPr>
          <w:rFonts w:ascii="Century Gothic" w:hAnsi="Century Gothic" w:cs="Arial"/>
          <w:color w:val="323232"/>
          <w:sz w:val="18"/>
          <w:szCs w:val="18"/>
        </w:rPr>
        <w:t>lu</w:t>
      </w:r>
      <w:r w:rsidRPr="003309D0">
        <w:rPr>
          <w:rFonts w:ascii="Century Gothic" w:hAnsi="Century Gothic" w:cs="Arial"/>
          <w:color w:val="5B5B5B"/>
          <w:sz w:val="18"/>
          <w:szCs w:val="18"/>
        </w:rPr>
        <w:t xml:space="preserve">s approfondi et nécessite peut-être des </w:t>
      </w:r>
      <w:r w:rsidRPr="003309D0">
        <w:rPr>
          <w:rFonts w:ascii="Century Gothic" w:hAnsi="Century Gothic" w:cs="Arial"/>
          <w:color w:val="464646"/>
          <w:sz w:val="18"/>
          <w:szCs w:val="18"/>
        </w:rPr>
        <w:t xml:space="preserve">mesures </w:t>
      </w:r>
      <w:r w:rsidRPr="003309D0">
        <w:rPr>
          <w:rFonts w:ascii="Century Gothic" w:hAnsi="Century Gothic" w:cs="Arial"/>
          <w:color w:val="5B5B5B"/>
          <w:sz w:val="18"/>
          <w:szCs w:val="18"/>
        </w:rPr>
        <w:t>correctives.</w:t>
      </w:r>
    </w:p>
    <w:p w14:paraId="6BFB97A9" w14:textId="77777777" w:rsidR="001214FA" w:rsidRPr="003309D0" w:rsidRDefault="001214FA" w:rsidP="001214FA">
      <w:pPr>
        <w:rPr>
          <w:rFonts w:ascii="Century Gothic" w:hAnsi="Century Gothic"/>
          <w:bCs/>
          <w:sz w:val="18"/>
          <w:szCs w:val="18"/>
        </w:rPr>
      </w:pPr>
    </w:p>
    <w:p w14:paraId="2DF60CF5" w14:textId="77777777" w:rsidR="001214FA" w:rsidRPr="003309D0" w:rsidRDefault="001214FA" w:rsidP="001214FA">
      <w:pPr>
        <w:rPr>
          <w:rFonts w:ascii="Century Gothic" w:hAnsi="Century Gothic"/>
          <w:b/>
          <w:sz w:val="18"/>
          <w:szCs w:val="18"/>
        </w:rPr>
      </w:pPr>
      <w:r w:rsidRPr="003309D0">
        <w:rPr>
          <w:rFonts w:ascii="Century Gothic" w:hAnsi="Century Gothic"/>
          <w:b/>
          <w:sz w:val="18"/>
          <w:szCs w:val="18"/>
        </w:rPr>
        <w:t>Exercice 7 : BFR et Ratios de BFR (Bis)</w:t>
      </w:r>
    </w:p>
    <w:p w14:paraId="535BCF78" w14:textId="77777777" w:rsidR="001214FA" w:rsidRPr="003309D0" w:rsidRDefault="001214FA" w:rsidP="001214FA">
      <w:pPr>
        <w:rPr>
          <w:rFonts w:ascii="Century Gothic" w:hAnsi="Century Gothic"/>
          <w:bCs/>
          <w:sz w:val="18"/>
          <w:szCs w:val="18"/>
        </w:rPr>
      </w:pPr>
    </w:p>
    <w:tbl>
      <w:tblPr>
        <w:tblW w:w="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722"/>
        <w:gridCol w:w="722"/>
        <w:gridCol w:w="722"/>
        <w:gridCol w:w="722"/>
        <w:gridCol w:w="722"/>
      </w:tblGrid>
      <w:tr w:rsidR="001214FA" w:rsidRPr="00B75633" w14:paraId="22907945" w14:textId="77777777" w:rsidTr="00340C8F">
        <w:trPr>
          <w:trHeight w:val="28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04331ED7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3832D554" w14:textId="77777777" w:rsidR="001214FA" w:rsidRPr="00B75633" w:rsidRDefault="001214FA" w:rsidP="00340C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12ECC56" w14:textId="77777777" w:rsidR="001214FA" w:rsidRPr="00B75633" w:rsidRDefault="001214FA" w:rsidP="00340C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4B61CA65" w14:textId="77777777" w:rsidR="001214FA" w:rsidRPr="00B75633" w:rsidRDefault="001214FA" w:rsidP="00340C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019E65A7" w14:textId="77777777" w:rsidR="001214FA" w:rsidRPr="00B75633" w:rsidRDefault="001214FA" w:rsidP="00340C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34AE6CCB" w14:textId="77777777" w:rsidR="001214FA" w:rsidRPr="00B75633" w:rsidRDefault="001214FA" w:rsidP="00340C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fr-FR"/>
              </w:rPr>
              <w:t>5</w:t>
            </w:r>
          </w:p>
        </w:tc>
      </w:tr>
      <w:tr w:rsidR="001214FA" w:rsidRPr="00B75633" w14:paraId="0D263827" w14:textId="77777777" w:rsidTr="00340C8F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92306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Bilan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15BEE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0AB3D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6296F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08547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5DB99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1214FA" w:rsidRPr="00B75633" w14:paraId="3954D182" w14:textId="77777777" w:rsidTr="00340C8F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4F329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Stocks (produits finis)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11359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FF5F1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AEE04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C7E9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13,0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71D88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15,4</w:t>
            </w:r>
          </w:p>
        </w:tc>
      </w:tr>
      <w:tr w:rsidR="001214FA" w:rsidRPr="00B75633" w14:paraId="52CA46F6" w14:textId="77777777" w:rsidTr="00340C8F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63FAC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Clients et effet à recevoir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55BFC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6BCB9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2C772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10,5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A29C5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11,1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13DBC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11,6</w:t>
            </w:r>
          </w:p>
        </w:tc>
      </w:tr>
      <w:tr w:rsidR="001214FA" w:rsidRPr="00B75633" w14:paraId="67E9B01E" w14:textId="77777777" w:rsidTr="00340C8F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13A43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Fournisseurs et effets à payer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4EF95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2,1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81FC3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766C4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E2878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3776F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3,4</w:t>
            </w:r>
          </w:p>
        </w:tc>
      </w:tr>
      <w:tr w:rsidR="001214FA" w:rsidRPr="00B75633" w14:paraId="457F0B3A" w14:textId="77777777" w:rsidTr="00340C8F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66417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A7D20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F2C5D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5A973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28D6C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850C3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1214FA" w:rsidRPr="00B75633" w14:paraId="0A898707" w14:textId="77777777" w:rsidTr="00340C8F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E875D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Compte de Résultat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BDCB8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F41D5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D4AB1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738A0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4212C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1214FA" w:rsidRPr="00B75633" w14:paraId="09B36FC0" w14:textId="77777777" w:rsidTr="00340C8F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DDC8D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Chiffre d'affaires HT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2F23B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32,8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36F37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44,7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E6A25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49,4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AED20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48,9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7BCD0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50,0</w:t>
            </w:r>
          </w:p>
        </w:tc>
      </w:tr>
      <w:tr w:rsidR="001214FA" w:rsidRPr="00B75633" w14:paraId="6E1135B6" w14:textId="77777777" w:rsidTr="00340C8F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2D9B7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Chiffre d'affaires TTC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70778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38,9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62CBC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52,6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EED3B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58,1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FCE79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57,4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0A9DB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57,2</w:t>
            </w:r>
          </w:p>
        </w:tc>
      </w:tr>
      <w:tr w:rsidR="001214FA" w:rsidRPr="00B75633" w14:paraId="32E4637B" w14:textId="77777777" w:rsidTr="00340C8F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66A53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Achats TTC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9B883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12,5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84293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19,2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EB1BC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19,6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532D8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20,9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C4F21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20,4</w:t>
            </w:r>
          </w:p>
        </w:tc>
      </w:tr>
      <w:tr w:rsidR="001214FA" w:rsidRPr="00B75633" w14:paraId="627873DD" w14:textId="77777777" w:rsidTr="00340C8F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92BE3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5AB3D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6FBBC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41418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3AA6C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DB293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1214FA" w:rsidRPr="00B75633" w14:paraId="32B0FB7C" w14:textId="77777777" w:rsidTr="00340C8F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1C38C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  <w:t>Ratios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798AA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8A48D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D7330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8DA98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6D11B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1214FA" w:rsidRPr="00B75633" w14:paraId="48D4B1FC" w14:textId="77777777" w:rsidTr="00340C8F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C957E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BFR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FED9F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10,4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BC759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12,8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B9252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16,1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950B2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20,3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98EB7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23,6</w:t>
            </w:r>
          </w:p>
        </w:tc>
      </w:tr>
      <w:tr w:rsidR="001214FA" w:rsidRPr="00B75633" w14:paraId="24CDC874" w14:textId="77777777" w:rsidTr="00340C8F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CF088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BFR en jours de CA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45F08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E96A4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5D828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27AC7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D150F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172</w:t>
            </w:r>
          </w:p>
        </w:tc>
      </w:tr>
      <w:tr w:rsidR="001214FA" w:rsidRPr="00B75633" w14:paraId="482C4625" w14:textId="77777777" w:rsidTr="00340C8F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FC21E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Jours de crédit client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6A04F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0E55E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C2BEE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E08B3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A08D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74</w:t>
            </w:r>
          </w:p>
        </w:tc>
      </w:tr>
      <w:tr w:rsidR="001214FA" w:rsidRPr="00B75633" w14:paraId="08473CD1" w14:textId="77777777" w:rsidTr="00340C8F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BDC45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Jours de stocks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E334F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33B4A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63457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2B8C2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6CB6F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112</w:t>
            </w:r>
          </w:p>
        </w:tc>
      </w:tr>
      <w:tr w:rsidR="001214FA" w:rsidRPr="00B75633" w14:paraId="4562DA3C" w14:textId="77777777" w:rsidTr="00340C8F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4C916" w14:textId="77777777" w:rsidR="001214FA" w:rsidRPr="00B75633" w:rsidRDefault="001214FA" w:rsidP="00340C8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lastRenderedPageBreak/>
              <w:t>Jours de fournisseurs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31C72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717E2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C041C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652D4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472BF" w14:textId="77777777" w:rsidR="001214FA" w:rsidRPr="00B75633" w:rsidRDefault="001214FA" w:rsidP="00340C8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B7563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61</w:t>
            </w:r>
          </w:p>
        </w:tc>
      </w:tr>
    </w:tbl>
    <w:p w14:paraId="7C5B0942" w14:textId="77777777" w:rsidR="001214FA" w:rsidRPr="003309D0" w:rsidRDefault="001214FA" w:rsidP="001214FA">
      <w:pPr>
        <w:rPr>
          <w:rFonts w:ascii="Century Gothic" w:hAnsi="Century Gothic"/>
          <w:bCs/>
          <w:sz w:val="18"/>
          <w:szCs w:val="18"/>
        </w:rPr>
      </w:pPr>
    </w:p>
    <w:p w14:paraId="00C219F7" w14:textId="4B7F2488" w:rsidR="00D565E0" w:rsidRDefault="001214FA" w:rsidP="001214FA">
      <w:r>
        <w:rPr>
          <w:rFonts w:ascii="Century Gothic" w:hAnsi="Century Gothic"/>
          <w:bCs/>
          <w:sz w:val="18"/>
          <w:szCs w:val="18"/>
        </w:rPr>
        <w:t>Stocks de produits finis : assimilé à du CA donc le calcul se fait avec le CA HT = (6,1/32,8) x 365 = 68</w:t>
      </w:r>
    </w:p>
    <w:sectPr w:rsidR="00D5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FA"/>
    <w:rsid w:val="001214FA"/>
    <w:rsid w:val="00D5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0340"/>
  <w15:chartTrackingRefBased/>
  <w15:docId w15:val="{E15F9345-F414-48CD-B35B-26DB0FCA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4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faille</dc:creator>
  <cp:keywords/>
  <dc:description/>
  <cp:lastModifiedBy>aline faille</cp:lastModifiedBy>
  <cp:revision>1</cp:revision>
  <dcterms:created xsi:type="dcterms:W3CDTF">2022-10-18T05:53:00Z</dcterms:created>
  <dcterms:modified xsi:type="dcterms:W3CDTF">2022-10-18T05:54:00Z</dcterms:modified>
</cp:coreProperties>
</file>