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9F49" w14:textId="77777777" w:rsidR="00B01F89" w:rsidRPr="006F673D" w:rsidRDefault="00B01F89" w:rsidP="00B01F89">
      <w:pPr>
        <w:rPr>
          <w:rFonts w:ascii="Century Gothic" w:hAnsi="Century Gothic"/>
          <w:b/>
          <w:bCs/>
        </w:rPr>
      </w:pPr>
      <w:r w:rsidRPr="006F673D">
        <w:rPr>
          <w:rFonts w:ascii="Century Gothic" w:hAnsi="Century Gothic"/>
          <w:b/>
          <w:bCs/>
        </w:rPr>
        <w:t>Exercice n°9 : Levier financier et endettement net</w:t>
      </w:r>
    </w:p>
    <w:p w14:paraId="439A7442" w14:textId="77777777" w:rsidR="00B01F89" w:rsidRPr="006F673D" w:rsidRDefault="00B01F89" w:rsidP="00B01F89">
      <w:pPr>
        <w:pStyle w:val="Paragraphedeliste"/>
        <w:numPr>
          <w:ilvl w:val="0"/>
          <w:numId w:val="1"/>
        </w:numPr>
        <w:autoSpaceDE w:val="0"/>
        <w:autoSpaceDN w:val="0"/>
        <w:adjustRightInd w:val="0"/>
        <w:spacing w:after="0" w:line="240" w:lineRule="auto"/>
        <w:jc w:val="both"/>
        <w:rPr>
          <w:rFonts w:ascii="Century Gothic" w:hAnsi="Century Gothic" w:cs="Arial"/>
          <w:b/>
          <w:bCs/>
          <w:sz w:val="18"/>
          <w:szCs w:val="18"/>
        </w:rPr>
      </w:pPr>
      <w:r w:rsidRPr="006F673D">
        <w:rPr>
          <w:rFonts w:ascii="Century Gothic" w:hAnsi="Century Gothic" w:cs="Arial"/>
          <w:b/>
          <w:bCs/>
          <w:sz w:val="18"/>
          <w:szCs w:val="18"/>
        </w:rPr>
        <w:t>Capitaux investis = Actif économique</w:t>
      </w:r>
    </w:p>
    <w:p w14:paraId="176ADF6C"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7A09E4BC"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Endettement net = Dettes financières - Actif de trésorerie (y compris les VMP facilement négociables)</w:t>
      </w:r>
    </w:p>
    <w:p w14:paraId="6898EA78"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 6 500 - 2 000 = 4 500</w:t>
      </w:r>
    </w:p>
    <w:p w14:paraId="4D67E645"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BFR = (6 000 + 800) - (5 700 + 800) = 300</w:t>
      </w:r>
    </w:p>
    <w:p w14:paraId="25F9B564"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On peut présenter le bilan sur la base de ces éléments :</w:t>
      </w:r>
    </w:p>
    <w:p w14:paraId="77B08C60"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tbl>
      <w:tblPr>
        <w:tblStyle w:val="Grilledutableau"/>
        <w:tblW w:w="0" w:type="auto"/>
        <w:tblLook w:val="04A0" w:firstRow="1" w:lastRow="0" w:firstColumn="1" w:lastColumn="0" w:noHBand="0" w:noVBand="1"/>
      </w:tblPr>
      <w:tblGrid>
        <w:gridCol w:w="2265"/>
        <w:gridCol w:w="1019"/>
        <w:gridCol w:w="2440"/>
        <w:gridCol w:w="879"/>
      </w:tblGrid>
      <w:tr w:rsidR="00B01F89" w:rsidRPr="006F673D" w14:paraId="55B4C1E0" w14:textId="77777777" w:rsidTr="005B3202">
        <w:tc>
          <w:tcPr>
            <w:tcW w:w="2265" w:type="dxa"/>
          </w:tcPr>
          <w:p w14:paraId="4B0630EA" w14:textId="77777777" w:rsidR="00B01F89" w:rsidRPr="006F673D" w:rsidRDefault="00B01F89" w:rsidP="005B3202">
            <w:pPr>
              <w:autoSpaceDE w:val="0"/>
              <w:autoSpaceDN w:val="0"/>
              <w:adjustRightInd w:val="0"/>
              <w:jc w:val="both"/>
              <w:rPr>
                <w:rFonts w:ascii="Century Gothic" w:hAnsi="Century Gothic" w:cs="Arial"/>
                <w:sz w:val="18"/>
                <w:szCs w:val="18"/>
              </w:rPr>
            </w:pPr>
            <w:r w:rsidRPr="006F673D">
              <w:rPr>
                <w:rFonts w:ascii="Century Gothic" w:hAnsi="Century Gothic" w:cs="Arial"/>
                <w:sz w:val="18"/>
                <w:szCs w:val="18"/>
              </w:rPr>
              <w:t xml:space="preserve">Actif immobilisé net </w:t>
            </w:r>
          </w:p>
          <w:p w14:paraId="478F6C88" w14:textId="77777777" w:rsidR="00B01F89" w:rsidRPr="006F673D" w:rsidRDefault="00B01F89" w:rsidP="005B3202">
            <w:pPr>
              <w:autoSpaceDE w:val="0"/>
              <w:autoSpaceDN w:val="0"/>
              <w:adjustRightInd w:val="0"/>
              <w:jc w:val="both"/>
              <w:rPr>
                <w:rFonts w:ascii="Century Gothic" w:hAnsi="Century Gothic" w:cs="Arial"/>
                <w:sz w:val="18"/>
                <w:szCs w:val="18"/>
              </w:rPr>
            </w:pPr>
            <w:r w:rsidRPr="006F673D">
              <w:rPr>
                <w:rFonts w:ascii="Century Gothic" w:hAnsi="Century Gothic" w:cs="Arial"/>
                <w:sz w:val="18"/>
                <w:szCs w:val="18"/>
              </w:rPr>
              <w:t>BFR</w:t>
            </w:r>
          </w:p>
        </w:tc>
        <w:tc>
          <w:tcPr>
            <w:tcW w:w="1019" w:type="dxa"/>
          </w:tcPr>
          <w:p w14:paraId="644369FB" w14:textId="77777777" w:rsidR="00B01F89" w:rsidRPr="006F673D" w:rsidRDefault="00B01F89" w:rsidP="005B3202">
            <w:pPr>
              <w:autoSpaceDE w:val="0"/>
              <w:autoSpaceDN w:val="0"/>
              <w:adjustRightInd w:val="0"/>
              <w:jc w:val="both"/>
              <w:rPr>
                <w:rFonts w:ascii="Century Gothic" w:hAnsi="Century Gothic" w:cs="Arial"/>
                <w:sz w:val="18"/>
                <w:szCs w:val="18"/>
              </w:rPr>
            </w:pPr>
            <w:r w:rsidRPr="006F673D">
              <w:rPr>
                <w:rFonts w:ascii="Century Gothic" w:hAnsi="Century Gothic" w:cs="Arial"/>
                <w:sz w:val="18"/>
                <w:szCs w:val="18"/>
              </w:rPr>
              <w:t>12 700</w:t>
            </w:r>
          </w:p>
          <w:p w14:paraId="0945B474" w14:textId="77777777" w:rsidR="00B01F89" w:rsidRPr="006F673D" w:rsidRDefault="00B01F89" w:rsidP="005B3202">
            <w:pPr>
              <w:autoSpaceDE w:val="0"/>
              <w:autoSpaceDN w:val="0"/>
              <w:adjustRightInd w:val="0"/>
              <w:jc w:val="both"/>
              <w:rPr>
                <w:rFonts w:ascii="Century Gothic" w:hAnsi="Century Gothic" w:cs="Arial"/>
                <w:sz w:val="18"/>
                <w:szCs w:val="18"/>
              </w:rPr>
            </w:pPr>
            <w:r w:rsidRPr="006F673D">
              <w:rPr>
                <w:rFonts w:ascii="Century Gothic" w:hAnsi="Century Gothic" w:cs="Arial"/>
                <w:sz w:val="18"/>
                <w:szCs w:val="18"/>
              </w:rPr>
              <w:t>300</w:t>
            </w:r>
          </w:p>
        </w:tc>
        <w:tc>
          <w:tcPr>
            <w:tcW w:w="2440" w:type="dxa"/>
          </w:tcPr>
          <w:p w14:paraId="522879B1" w14:textId="77777777" w:rsidR="00B01F89" w:rsidRPr="006F673D" w:rsidRDefault="00B01F89" w:rsidP="005B3202">
            <w:pPr>
              <w:autoSpaceDE w:val="0"/>
              <w:autoSpaceDN w:val="0"/>
              <w:adjustRightInd w:val="0"/>
              <w:jc w:val="both"/>
              <w:rPr>
                <w:rFonts w:ascii="Century Gothic" w:hAnsi="Century Gothic" w:cs="Arial"/>
                <w:sz w:val="18"/>
                <w:szCs w:val="18"/>
              </w:rPr>
            </w:pPr>
            <w:r w:rsidRPr="006F673D">
              <w:rPr>
                <w:rFonts w:ascii="Century Gothic" w:hAnsi="Century Gothic" w:cs="Arial"/>
                <w:sz w:val="18"/>
                <w:szCs w:val="18"/>
              </w:rPr>
              <w:t>Capitaux propres</w:t>
            </w:r>
          </w:p>
          <w:p w14:paraId="75D153F0" w14:textId="77777777" w:rsidR="00B01F89" w:rsidRPr="006F673D" w:rsidRDefault="00B01F89" w:rsidP="005B3202">
            <w:pPr>
              <w:autoSpaceDE w:val="0"/>
              <w:autoSpaceDN w:val="0"/>
              <w:adjustRightInd w:val="0"/>
              <w:jc w:val="both"/>
              <w:rPr>
                <w:rFonts w:ascii="Century Gothic" w:hAnsi="Century Gothic" w:cs="Arial"/>
                <w:sz w:val="18"/>
                <w:szCs w:val="18"/>
              </w:rPr>
            </w:pPr>
            <w:r w:rsidRPr="006F673D">
              <w:rPr>
                <w:rFonts w:ascii="Century Gothic" w:hAnsi="Century Gothic" w:cs="Arial"/>
                <w:sz w:val="18"/>
                <w:szCs w:val="18"/>
              </w:rPr>
              <w:t>Endettement net</w:t>
            </w:r>
            <w:r w:rsidRPr="006F673D">
              <w:rPr>
                <w:rFonts w:ascii="Century Gothic" w:hAnsi="Century Gothic" w:cs="Arial"/>
                <w:sz w:val="18"/>
                <w:szCs w:val="18"/>
              </w:rPr>
              <w:tab/>
            </w:r>
          </w:p>
        </w:tc>
        <w:tc>
          <w:tcPr>
            <w:tcW w:w="879" w:type="dxa"/>
          </w:tcPr>
          <w:p w14:paraId="7A8E19D1" w14:textId="77777777" w:rsidR="00B01F89" w:rsidRPr="006F673D" w:rsidRDefault="00B01F89" w:rsidP="005B3202">
            <w:pPr>
              <w:autoSpaceDE w:val="0"/>
              <w:autoSpaceDN w:val="0"/>
              <w:adjustRightInd w:val="0"/>
              <w:jc w:val="both"/>
              <w:rPr>
                <w:rFonts w:ascii="Century Gothic" w:hAnsi="Century Gothic" w:cs="Arial"/>
                <w:sz w:val="18"/>
                <w:szCs w:val="18"/>
              </w:rPr>
            </w:pPr>
            <w:r w:rsidRPr="006F673D">
              <w:rPr>
                <w:rFonts w:ascii="Century Gothic" w:hAnsi="Century Gothic" w:cs="Arial"/>
                <w:sz w:val="18"/>
                <w:szCs w:val="18"/>
              </w:rPr>
              <w:t>8 500</w:t>
            </w:r>
          </w:p>
          <w:p w14:paraId="38815C0A" w14:textId="77777777" w:rsidR="00B01F89" w:rsidRPr="006F673D" w:rsidRDefault="00B01F89" w:rsidP="005B3202">
            <w:pPr>
              <w:autoSpaceDE w:val="0"/>
              <w:autoSpaceDN w:val="0"/>
              <w:adjustRightInd w:val="0"/>
              <w:jc w:val="both"/>
              <w:rPr>
                <w:rFonts w:ascii="Century Gothic" w:hAnsi="Century Gothic" w:cs="Arial"/>
                <w:sz w:val="18"/>
                <w:szCs w:val="18"/>
              </w:rPr>
            </w:pPr>
            <w:r w:rsidRPr="006F673D">
              <w:rPr>
                <w:rFonts w:ascii="Century Gothic" w:hAnsi="Century Gothic" w:cs="Arial"/>
                <w:sz w:val="18"/>
                <w:szCs w:val="18"/>
              </w:rPr>
              <w:t>4 500</w:t>
            </w:r>
          </w:p>
        </w:tc>
      </w:tr>
      <w:tr w:rsidR="00B01F89" w:rsidRPr="006F673D" w14:paraId="54CD1684" w14:textId="77777777" w:rsidTr="005B3202">
        <w:tc>
          <w:tcPr>
            <w:tcW w:w="2265" w:type="dxa"/>
          </w:tcPr>
          <w:p w14:paraId="127E8AD7" w14:textId="77777777" w:rsidR="00B01F89" w:rsidRPr="006F673D" w:rsidRDefault="00B01F89" w:rsidP="005B3202">
            <w:pPr>
              <w:autoSpaceDE w:val="0"/>
              <w:autoSpaceDN w:val="0"/>
              <w:adjustRightInd w:val="0"/>
              <w:jc w:val="both"/>
              <w:rPr>
                <w:rFonts w:ascii="Century Gothic" w:hAnsi="Century Gothic" w:cs="Arial"/>
                <w:b/>
                <w:bCs/>
                <w:sz w:val="18"/>
                <w:szCs w:val="18"/>
              </w:rPr>
            </w:pPr>
            <w:r w:rsidRPr="006F673D">
              <w:rPr>
                <w:rFonts w:ascii="Century Gothic" w:hAnsi="Century Gothic" w:cs="Arial"/>
                <w:b/>
                <w:bCs/>
                <w:sz w:val="18"/>
                <w:szCs w:val="18"/>
              </w:rPr>
              <w:t>Total</w:t>
            </w:r>
          </w:p>
        </w:tc>
        <w:tc>
          <w:tcPr>
            <w:tcW w:w="1019" w:type="dxa"/>
          </w:tcPr>
          <w:p w14:paraId="1BA11321" w14:textId="77777777" w:rsidR="00B01F89" w:rsidRPr="006F673D" w:rsidRDefault="00B01F89" w:rsidP="005B3202">
            <w:pPr>
              <w:autoSpaceDE w:val="0"/>
              <w:autoSpaceDN w:val="0"/>
              <w:adjustRightInd w:val="0"/>
              <w:jc w:val="both"/>
              <w:rPr>
                <w:rFonts w:ascii="Century Gothic" w:hAnsi="Century Gothic" w:cs="Arial"/>
                <w:b/>
                <w:bCs/>
                <w:sz w:val="18"/>
                <w:szCs w:val="18"/>
              </w:rPr>
            </w:pPr>
            <w:r w:rsidRPr="006F673D">
              <w:rPr>
                <w:rFonts w:ascii="Century Gothic" w:hAnsi="Century Gothic" w:cs="Arial"/>
                <w:b/>
                <w:bCs/>
                <w:sz w:val="18"/>
                <w:szCs w:val="18"/>
              </w:rPr>
              <w:t>13 000</w:t>
            </w:r>
            <w:r w:rsidRPr="006F673D">
              <w:rPr>
                <w:rFonts w:ascii="Century Gothic" w:hAnsi="Century Gothic" w:cs="Arial"/>
                <w:b/>
                <w:bCs/>
                <w:sz w:val="18"/>
                <w:szCs w:val="18"/>
              </w:rPr>
              <w:tab/>
            </w:r>
          </w:p>
        </w:tc>
        <w:tc>
          <w:tcPr>
            <w:tcW w:w="2440" w:type="dxa"/>
          </w:tcPr>
          <w:p w14:paraId="0D67953C" w14:textId="77777777" w:rsidR="00B01F89" w:rsidRPr="006F673D" w:rsidRDefault="00B01F89" w:rsidP="005B3202">
            <w:pPr>
              <w:autoSpaceDE w:val="0"/>
              <w:autoSpaceDN w:val="0"/>
              <w:adjustRightInd w:val="0"/>
              <w:jc w:val="both"/>
              <w:rPr>
                <w:rFonts w:ascii="Century Gothic" w:hAnsi="Century Gothic" w:cs="Arial"/>
                <w:b/>
                <w:bCs/>
                <w:sz w:val="18"/>
                <w:szCs w:val="18"/>
              </w:rPr>
            </w:pPr>
            <w:r w:rsidRPr="006F673D">
              <w:rPr>
                <w:rFonts w:ascii="Century Gothic" w:hAnsi="Century Gothic" w:cs="Arial"/>
                <w:b/>
                <w:bCs/>
                <w:sz w:val="18"/>
                <w:szCs w:val="18"/>
              </w:rPr>
              <w:t>Total</w:t>
            </w:r>
          </w:p>
        </w:tc>
        <w:tc>
          <w:tcPr>
            <w:tcW w:w="879" w:type="dxa"/>
          </w:tcPr>
          <w:p w14:paraId="59D4D3C5" w14:textId="77777777" w:rsidR="00B01F89" w:rsidRPr="006F673D" w:rsidRDefault="00B01F89" w:rsidP="005B3202">
            <w:pPr>
              <w:autoSpaceDE w:val="0"/>
              <w:autoSpaceDN w:val="0"/>
              <w:adjustRightInd w:val="0"/>
              <w:jc w:val="both"/>
              <w:rPr>
                <w:rFonts w:ascii="Century Gothic" w:hAnsi="Century Gothic" w:cs="Arial"/>
                <w:b/>
                <w:bCs/>
                <w:sz w:val="18"/>
                <w:szCs w:val="18"/>
              </w:rPr>
            </w:pPr>
            <w:r w:rsidRPr="006F673D">
              <w:rPr>
                <w:rFonts w:ascii="Century Gothic" w:hAnsi="Century Gothic" w:cs="Arial"/>
                <w:b/>
                <w:bCs/>
                <w:sz w:val="18"/>
                <w:szCs w:val="18"/>
              </w:rPr>
              <w:t>13 000</w:t>
            </w:r>
          </w:p>
        </w:tc>
      </w:tr>
    </w:tbl>
    <w:p w14:paraId="5AE599A6"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35444B06"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On a bien : Capitaux investis (Capitaux propres+ Endettement net) = Actif econom1que (Actif immobilisé+ BFR).</w:t>
      </w:r>
    </w:p>
    <w:p w14:paraId="17FEF73B"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Utiliser la notion d'endettement net permet de ne plus avoir de trésorerie à l'actif, poste gênant pour certains calculs.</w:t>
      </w:r>
    </w:p>
    <w:p w14:paraId="2B5F41F1"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0071742D" w14:textId="77777777" w:rsidR="00B01F89" w:rsidRPr="006F673D" w:rsidRDefault="00B01F89" w:rsidP="00B01F89">
      <w:pPr>
        <w:autoSpaceDE w:val="0"/>
        <w:autoSpaceDN w:val="0"/>
        <w:adjustRightInd w:val="0"/>
        <w:spacing w:after="0" w:line="240" w:lineRule="auto"/>
        <w:jc w:val="both"/>
        <w:rPr>
          <w:rFonts w:ascii="Century Gothic" w:hAnsi="Century Gothic" w:cs="Arial"/>
          <w:b/>
          <w:bCs/>
          <w:sz w:val="18"/>
          <w:szCs w:val="18"/>
        </w:rPr>
      </w:pPr>
      <w:r w:rsidRPr="006F673D">
        <w:rPr>
          <w:rFonts w:ascii="Century Gothic" w:hAnsi="Century Gothic" w:cs="Arial"/>
          <w:b/>
          <w:bCs/>
          <w:sz w:val="18"/>
          <w:szCs w:val="18"/>
        </w:rPr>
        <w:t>2. Effet de levier</w:t>
      </w:r>
    </w:p>
    <w:p w14:paraId="1B82899D"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79E60667" w14:textId="77777777" w:rsidR="00B01F89"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Deux possibilités pour savoir si l'effet de levier est favorable</w:t>
      </w:r>
      <w:r>
        <w:rPr>
          <w:rFonts w:ascii="Century Gothic" w:hAnsi="Century Gothic" w:cs="Arial"/>
          <w:sz w:val="18"/>
          <w:szCs w:val="18"/>
        </w:rPr>
        <w:t> :</w:t>
      </w:r>
    </w:p>
    <w:p w14:paraId="089095DE"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2DD22BDC"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1) Comparer la rentabilité économique et le taux de l'endettement.</w:t>
      </w:r>
    </w:p>
    <w:p w14:paraId="72E951F6"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Faisons cette comparaison avec des éléments avant IS :</w:t>
      </w:r>
    </w:p>
    <w:p w14:paraId="7BFA4FA9" w14:textId="77777777" w:rsidR="00B01F89"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Taux de rentabilité économique (t</w:t>
      </w:r>
      <w:r w:rsidRPr="006F673D">
        <w:rPr>
          <w:rFonts w:ascii="Century Gothic" w:hAnsi="Century Gothic" w:cs="Arial"/>
          <w:sz w:val="18"/>
          <w:szCs w:val="18"/>
          <w:vertAlign w:val="subscript"/>
        </w:rPr>
        <w:t>e</w:t>
      </w:r>
      <w:r w:rsidRPr="006F673D">
        <w:rPr>
          <w:rFonts w:ascii="Century Gothic" w:hAnsi="Century Gothic" w:cs="Arial"/>
          <w:sz w:val="18"/>
          <w:szCs w:val="18"/>
        </w:rPr>
        <w:t>) = 2 260/13 000 = 17,38%</w:t>
      </w:r>
    </w:p>
    <w:p w14:paraId="4CCF0BFE"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3E0BE405"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Pr>
          <w:rFonts w:ascii="Century Gothic" w:hAnsi="Century Gothic" w:cs="Arial"/>
          <w:sz w:val="18"/>
          <w:szCs w:val="18"/>
        </w:rPr>
        <w:t xml:space="preserve">2) </w:t>
      </w:r>
      <w:r w:rsidRPr="006F673D">
        <w:rPr>
          <w:rFonts w:ascii="Century Gothic" w:hAnsi="Century Gothic" w:cs="Arial"/>
          <w:sz w:val="18"/>
          <w:szCs w:val="18"/>
        </w:rPr>
        <w:t>Comparer le taux de rentabilité financière et le taux de rentabilité économique après IS :</w:t>
      </w:r>
    </w:p>
    <w:p w14:paraId="69375800"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Taux de rentabilité financière (</w:t>
      </w:r>
      <w:proofErr w:type="spellStart"/>
      <w:r w:rsidRPr="006F673D">
        <w:rPr>
          <w:rFonts w:ascii="Century Gothic" w:hAnsi="Century Gothic" w:cs="Arial"/>
          <w:sz w:val="18"/>
          <w:szCs w:val="18"/>
        </w:rPr>
        <w:t>t</w:t>
      </w:r>
      <w:r w:rsidRPr="006F673D">
        <w:rPr>
          <w:rFonts w:ascii="Century Gothic" w:hAnsi="Century Gothic" w:cs="Arial"/>
          <w:sz w:val="18"/>
          <w:szCs w:val="18"/>
          <w:vertAlign w:val="subscript"/>
        </w:rPr>
        <w:t>f</w:t>
      </w:r>
      <w:proofErr w:type="spellEnd"/>
      <w:r w:rsidRPr="006F673D">
        <w:rPr>
          <w:rFonts w:ascii="Century Gothic" w:hAnsi="Century Gothic" w:cs="Arial"/>
          <w:sz w:val="18"/>
          <w:szCs w:val="18"/>
        </w:rPr>
        <w:t>)= 1 334/8500 = 15,69 %</w:t>
      </w:r>
    </w:p>
    <w:p w14:paraId="0B37DD15"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Taux de rentabilité économique après impôt : 17,38%x2/3 =11,59%</w:t>
      </w:r>
    </w:p>
    <w:p w14:paraId="79292360"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Le taux de rentabilité financière est supérieur à ce qu'il aurait été sans endettement (on sait que t</w:t>
      </w:r>
      <w:r w:rsidRPr="006F673D">
        <w:rPr>
          <w:rFonts w:ascii="Century Gothic" w:hAnsi="Century Gothic" w:cs="Arial"/>
          <w:sz w:val="18"/>
          <w:szCs w:val="18"/>
          <w:vertAlign w:val="subscript"/>
        </w:rPr>
        <w:t>e</w:t>
      </w:r>
      <w:r w:rsidRPr="006F673D">
        <w:rPr>
          <w:rFonts w:ascii="Century Gothic" w:hAnsi="Century Gothic" w:cs="Arial"/>
          <w:sz w:val="18"/>
          <w:szCs w:val="18"/>
        </w:rPr>
        <w:t xml:space="preserve"> = </w:t>
      </w:r>
      <w:proofErr w:type="spellStart"/>
      <w:r w:rsidRPr="006F673D">
        <w:rPr>
          <w:rFonts w:ascii="Century Gothic" w:hAnsi="Century Gothic" w:cs="Arial"/>
          <w:sz w:val="18"/>
          <w:szCs w:val="18"/>
        </w:rPr>
        <w:t>t</w:t>
      </w:r>
      <w:r w:rsidRPr="006F673D">
        <w:rPr>
          <w:rFonts w:ascii="Century Gothic" w:hAnsi="Century Gothic" w:cs="Arial"/>
          <w:sz w:val="18"/>
          <w:szCs w:val="18"/>
          <w:vertAlign w:val="subscript"/>
        </w:rPr>
        <w:t>f</w:t>
      </w:r>
      <w:proofErr w:type="spellEnd"/>
      <w:r w:rsidRPr="006F673D">
        <w:rPr>
          <w:rFonts w:ascii="Century Gothic" w:hAnsi="Century Gothic" w:cs="Arial"/>
          <w:sz w:val="18"/>
          <w:szCs w:val="18"/>
          <w:vertAlign w:val="subscript"/>
        </w:rPr>
        <w:t xml:space="preserve"> </w:t>
      </w:r>
      <w:r w:rsidRPr="006F673D">
        <w:rPr>
          <w:rFonts w:ascii="Century Gothic" w:hAnsi="Century Gothic" w:cs="Arial"/>
          <w:sz w:val="18"/>
          <w:szCs w:val="18"/>
        </w:rPr>
        <w:t>en l'absence d'endettement). On a 15,69 % &gt; 11,59 % ; donc l'endettement a eu un impact positif sur la rentabilité financière</w:t>
      </w:r>
    </w:p>
    <w:p w14:paraId="3A3F1548"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21204B4B" w14:textId="77777777" w:rsidR="00B01F89" w:rsidRPr="006F673D" w:rsidRDefault="00B01F89" w:rsidP="00B01F89">
      <w:pPr>
        <w:autoSpaceDE w:val="0"/>
        <w:autoSpaceDN w:val="0"/>
        <w:adjustRightInd w:val="0"/>
        <w:spacing w:after="0" w:line="240" w:lineRule="auto"/>
        <w:jc w:val="both"/>
        <w:rPr>
          <w:rFonts w:ascii="Century Gothic" w:hAnsi="Century Gothic" w:cs="Arial"/>
          <w:b/>
          <w:bCs/>
          <w:sz w:val="18"/>
          <w:szCs w:val="18"/>
        </w:rPr>
      </w:pPr>
      <w:r w:rsidRPr="006F673D">
        <w:rPr>
          <w:rFonts w:ascii="Century Gothic" w:hAnsi="Century Gothic" w:cs="Arial"/>
          <w:b/>
          <w:bCs/>
          <w:sz w:val="18"/>
          <w:szCs w:val="18"/>
        </w:rPr>
        <w:t>Montant de l'effet de levier</w:t>
      </w:r>
    </w:p>
    <w:p w14:paraId="6EF53171"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4F76BAE7"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C'est le supplément de rentabilité financière dû à l'endettement :</w:t>
      </w:r>
    </w:p>
    <w:p w14:paraId="18ED1DB1"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5B98C6BF"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15,69 % - 11,59 % = 4,10 %</w:t>
      </w:r>
    </w:p>
    <w:p w14:paraId="0F0D771D"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129F5254" w14:textId="77777777" w:rsidR="00B01F89" w:rsidRPr="006F673D" w:rsidRDefault="00B01F89" w:rsidP="00B01F89">
      <w:pPr>
        <w:autoSpaceDE w:val="0"/>
        <w:autoSpaceDN w:val="0"/>
        <w:adjustRightInd w:val="0"/>
        <w:spacing w:after="0" w:line="240" w:lineRule="auto"/>
        <w:jc w:val="both"/>
        <w:rPr>
          <w:rFonts w:ascii="Century Gothic" w:hAnsi="Century Gothic" w:cs="Arial"/>
          <w:b/>
          <w:bCs/>
          <w:sz w:val="18"/>
          <w:szCs w:val="18"/>
        </w:rPr>
      </w:pPr>
      <w:r w:rsidRPr="006F673D">
        <w:rPr>
          <w:rFonts w:ascii="Century Gothic" w:hAnsi="Century Gothic" w:cs="Arial"/>
          <w:b/>
          <w:bCs/>
          <w:sz w:val="18"/>
          <w:szCs w:val="18"/>
        </w:rPr>
        <w:t>3. Vérification</w:t>
      </w:r>
    </w:p>
    <w:p w14:paraId="05261C3D"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2215FAB9" w14:textId="77777777" w:rsidR="00B01F89" w:rsidRPr="006F673D" w:rsidRDefault="00B01F89" w:rsidP="00B01F89">
      <w:pPr>
        <w:autoSpaceDE w:val="0"/>
        <w:autoSpaceDN w:val="0"/>
        <w:adjustRightInd w:val="0"/>
        <w:spacing w:after="0" w:line="240" w:lineRule="auto"/>
        <w:jc w:val="both"/>
        <w:rPr>
          <w:rFonts w:ascii="Century Gothic" w:hAnsi="Century Gothic" w:cs="Arial"/>
          <w:i/>
          <w:iCs/>
          <w:sz w:val="18"/>
          <w:szCs w:val="18"/>
          <w:u w:val="single"/>
        </w:rPr>
      </w:pPr>
      <w:r w:rsidRPr="006F673D">
        <w:rPr>
          <w:rFonts w:ascii="Century Gothic" w:hAnsi="Century Gothic" w:cs="Arial"/>
          <w:i/>
          <w:iCs/>
          <w:sz w:val="18"/>
          <w:szCs w:val="18"/>
          <w:u w:val="single"/>
        </w:rPr>
        <w:t>Calculs préalables</w:t>
      </w:r>
    </w:p>
    <w:p w14:paraId="40404547"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Charges financières : 6 500 x 4,6 % = 299</w:t>
      </w:r>
    </w:p>
    <w:p w14:paraId="7CAE85DD"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 Produits financiers : 2 000 x 2 % =   - 40</w:t>
      </w:r>
    </w:p>
    <w:p w14:paraId="4E525DA7"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 xml:space="preserve">= </w:t>
      </w:r>
      <w:r w:rsidRPr="006F673D">
        <w:rPr>
          <w:rFonts w:ascii="Century Gothic" w:hAnsi="Century Gothic" w:cs="Arial"/>
          <w:b/>
          <w:bCs/>
          <w:sz w:val="18"/>
          <w:szCs w:val="18"/>
        </w:rPr>
        <w:t>Charges d'intérêts nettes</w:t>
      </w:r>
      <w:r w:rsidRPr="006F673D">
        <w:rPr>
          <w:rFonts w:ascii="Century Gothic" w:hAnsi="Century Gothic" w:cs="Arial"/>
          <w:sz w:val="18"/>
          <w:szCs w:val="18"/>
        </w:rPr>
        <w:t xml:space="preserve">        =       </w:t>
      </w:r>
      <w:r w:rsidRPr="006F673D">
        <w:rPr>
          <w:rFonts w:ascii="Century Gothic" w:hAnsi="Century Gothic" w:cs="Arial"/>
          <w:b/>
          <w:bCs/>
          <w:sz w:val="18"/>
          <w:szCs w:val="18"/>
        </w:rPr>
        <w:t>259</w:t>
      </w:r>
    </w:p>
    <w:p w14:paraId="48DFBEF0"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4AACCCE9"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Taux moyen de l'endettement net : 259/4 500 = 5 ,76 %</w:t>
      </w:r>
    </w:p>
    <w:p w14:paraId="623DEAAC"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Taux moyen après IS : 5,76 % x 2/3 = 3,84 %</w:t>
      </w:r>
    </w:p>
    <w:p w14:paraId="7C60B521"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Application de la formule de l'effet de levier</w:t>
      </w:r>
    </w:p>
    <w:p w14:paraId="25119B5E"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m:oMathPara>
        <m:oMathParaPr>
          <m:jc m:val="left"/>
        </m:oMathParaPr>
        <m:oMath>
          <m:f>
            <m:fPr>
              <m:ctrlPr>
                <w:rPr>
                  <w:rFonts w:ascii="Cambria Math" w:hAnsi="Cambria Math" w:cs="Arial"/>
                  <w:i/>
                  <w:sz w:val="18"/>
                  <w:szCs w:val="18"/>
                </w:rPr>
              </m:ctrlPr>
            </m:fPr>
            <m:num>
              <m:r>
                <w:rPr>
                  <w:rFonts w:ascii="Cambria Math" w:hAnsi="Cambria Math" w:cs="Arial"/>
                  <w:sz w:val="18"/>
                  <w:szCs w:val="18"/>
                </w:rPr>
                <m:t>D</m:t>
              </m:r>
            </m:num>
            <m:den>
              <m:r>
                <w:rPr>
                  <w:rFonts w:ascii="Cambria Math" w:hAnsi="Cambria Math" w:cs="Arial"/>
                  <w:sz w:val="18"/>
                  <w:szCs w:val="18"/>
                </w:rPr>
                <m:t>K</m:t>
              </m:r>
            </m:den>
          </m:f>
          <m:r>
            <w:rPr>
              <w:rFonts w:ascii="Cambria Math" w:hAnsi="Cambria Math" w:cs="Arial"/>
              <w:sz w:val="18"/>
              <w:szCs w:val="18"/>
            </w:rPr>
            <m:t xml:space="preserve"> </m:t>
          </m:r>
          <m:d>
            <m:dPr>
              <m:ctrlPr>
                <w:rPr>
                  <w:rFonts w:ascii="Cambria Math" w:hAnsi="Cambria Math" w:cs="Arial"/>
                  <w:i/>
                  <w:sz w:val="18"/>
                  <w:szCs w:val="18"/>
                </w:rPr>
              </m:ctrlPr>
            </m:dPr>
            <m:e>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e</m:t>
                  </m:r>
                </m:sub>
              </m:sSub>
              <m:r>
                <w:rPr>
                  <w:rFonts w:ascii="Cambria Math" w:hAnsi="Cambria Math" w:cs="Arial"/>
                  <w:sz w:val="18"/>
                  <w:szCs w:val="18"/>
                </w:rPr>
                <m:t>-i</m:t>
              </m:r>
            </m:e>
          </m:d>
          <m:r>
            <w:rPr>
              <w:rFonts w:ascii="Cambria Math" w:hAnsi="Cambria Math" w:cs="Arial"/>
              <w:sz w:val="18"/>
              <w:szCs w:val="18"/>
            </w:rPr>
            <m:t xml:space="preserve">= </m:t>
          </m:r>
          <m:f>
            <m:fPr>
              <m:ctrlPr>
                <w:rPr>
                  <w:rFonts w:ascii="Cambria Math" w:hAnsi="Cambria Math" w:cs="Arial"/>
                  <w:i/>
                  <w:sz w:val="18"/>
                  <w:szCs w:val="18"/>
                </w:rPr>
              </m:ctrlPr>
            </m:fPr>
            <m:num>
              <m:r>
                <w:rPr>
                  <w:rFonts w:ascii="Cambria Math" w:hAnsi="Cambria Math" w:cs="Arial"/>
                  <w:sz w:val="18"/>
                  <w:szCs w:val="18"/>
                </w:rPr>
                <m:t>4 500</m:t>
              </m:r>
            </m:num>
            <m:den>
              <m:r>
                <w:rPr>
                  <w:rFonts w:ascii="Cambria Math" w:hAnsi="Cambria Math" w:cs="Arial"/>
                  <w:sz w:val="18"/>
                  <w:szCs w:val="18"/>
                </w:rPr>
                <m:t>8 500</m:t>
              </m:r>
            </m:den>
          </m:f>
          <m:r>
            <w:rPr>
              <w:rFonts w:ascii="Cambria Math" w:hAnsi="Cambria Math" w:cs="Arial"/>
              <w:sz w:val="18"/>
              <w:szCs w:val="18"/>
            </w:rPr>
            <m:t xml:space="preserve"> </m:t>
          </m:r>
          <m:d>
            <m:dPr>
              <m:ctrlPr>
                <w:rPr>
                  <w:rFonts w:ascii="Cambria Math" w:hAnsi="Cambria Math" w:cs="Arial"/>
                  <w:i/>
                  <w:sz w:val="18"/>
                  <w:szCs w:val="18"/>
                </w:rPr>
              </m:ctrlPr>
            </m:dPr>
            <m:e>
              <m:r>
                <w:rPr>
                  <w:rFonts w:ascii="Cambria Math" w:hAnsi="Cambria Math" w:cs="Arial"/>
                  <w:sz w:val="18"/>
                  <w:szCs w:val="18"/>
                </w:rPr>
                <m:t>11,59%-3,84%</m:t>
              </m:r>
            </m:e>
          </m:d>
          <m:r>
            <w:rPr>
              <w:rFonts w:ascii="Cambria Math" w:hAnsi="Cambria Math" w:cs="Arial"/>
              <w:sz w:val="18"/>
              <w:szCs w:val="18"/>
            </w:rPr>
            <m:t>=4,10%</m:t>
          </m:r>
        </m:oMath>
      </m:oMathPara>
    </w:p>
    <w:p w14:paraId="2F8219AD"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2D1FC1FD"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Commentaire : En raisonnant sur la base de l'endettement net, il est possible de calculer l'effet de levier financier.</w:t>
      </w:r>
    </w:p>
    <w:p w14:paraId="3661CCF8"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61011990" w14:textId="77777777" w:rsidR="00B01F89" w:rsidRDefault="00B01F89" w:rsidP="00B01F89">
      <w:pPr>
        <w:autoSpaceDE w:val="0"/>
        <w:autoSpaceDN w:val="0"/>
        <w:adjustRightInd w:val="0"/>
        <w:spacing w:after="0" w:line="240" w:lineRule="auto"/>
        <w:jc w:val="both"/>
        <w:rPr>
          <w:rFonts w:ascii="Century Gothic" w:hAnsi="Century Gothic" w:cs="Arial"/>
          <w:b/>
          <w:bCs/>
          <w:sz w:val="18"/>
          <w:szCs w:val="18"/>
        </w:rPr>
      </w:pPr>
      <w:r w:rsidRPr="006F673D">
        <w:rPr>
          <w:rFonts w:ascii="Century Gothic" w:hAnsi="Century Gothic" w:cs="Arial"/>
          <w:b/>
          <w:bCs/>
          <w:sz w:val="18"/>
          <w:szCs w:val="18"/>
        </w:rPr>
        <w:t>4. Croissance du CA HT</w:t>
      </w:r>
    </w:p>
    <w:p w14:paraId="023E907E" w14:textId="77777777" w:rsidR="00B01F89" w:rsidRDefault="00B01F89" w:rsidP="00B01F89">
      <w:pPr>
        <w:autoSpaceDE w:val="0"/>
        <w:autoSpaceDN w:val="0"/>
        <w:adjustRightInd w:val="0"/>
        <w:spacing w:after="0" w:line="240" w:lineRule="auto"/>
        <w:jc w:val="both"/>
        <w:rPr>
          <w:rFonts w:ascii="Century Gothic" w:hAnsi="Century Gothic" w:cs="Arial"/>
          <w:b/>
          <w:bCs/>
          <w:sz w:val="18"/>
          <w:szCs w:val="18"/>
        </w:rPr>
      </w:pPr>
    </w:p>
    <w:p w14:paraId="3539E9D2" w14:textId="77777777" w:rsidR="00B01F89" w:rsidRDefault="00B01F89" w:rsidP="00B01F89">
      <w:pPr>
        <w:autoSpaceDE w:val="0"/>
        <w:autoSpaceDN w:val="0"/>
        <w:adjustRightInd w:val="0"/>
        <w:spacing w:after="0" w:line="240" w:lineRule="auto"/>
        <w:jc w:val="both"/>
        <w:rPr>
          <w:rFonts w:ascii="Century Gothic" w:hAnsi="Century Gothic" w:cs="Arial"/>
          <w:sz w:val="18"/>
          <w:szCs w:val="18"/>
        </w:rPr>
      </w:pPr>
      <w:r>
        <w:rPr>
          <w:rFonts w:ascii="Century Gothic" w:hAnsi="Century Gothic" w:cs="Arial"/>
          <w:b/>
          <w:bCs/>
          <w:sz w:val="18"/>
          <w:szCs w:val="18"/>
        </w:rPr>
        <w:t xml:space="preserve">Levier opérationnel : </w:t>
      </w:r>
      <w:r>
        <w:rPr>
          <w:rFonts w:ascii="Century Gothic" w:hAnsi="Century Gothic" w:cs="Arial"/>
          <w:sz w:val="18"/>
          <w:szCs w:val="18"/>
        </w:rPr>
        <w:t xml:space="preserve">il exprime la sensibilité du résultat à la variation du CA. C’est l’incidence d’une variation en % du CA sur la variation en % du résultat. </w:t>
      </w:r>
      <w:r w:rsidRPr="006D7882">
        <w:rPr>
          <w:rFonts w:ascii="Century Gothic" w:hAnsi="Century Gothic" w:cs="Arial"/>
          <w:sz w:val="18"/>
          <w:szCs w:val="18"/>
        </w:rPr>
        <w:t xml:space="preserve">Si </w:t>
      </w:r>
      <w:r>
        <w:rPr>
          <w:rFonts w:ascii="Century Gothic" w:hAnsi="Century Gothic" w:cs="Arial"/>
          <w:sz w:val="18"/>
          <w:szCs w:val="18"/>
        </w:rPr>
        <w:t>une variation du CA de 10%, entraine une variation de 30% du résultat, le levier opérationnel sera de 3</w:t>
      </w:r>
      <w:proofErr w:type="gramStart"/>
      <w:r>
        <w:rPr>
          <w:rFonts w:ascii="Century Gothic" w:hAnsi="Century Gothic" w:cs="Arial"/>
          <w:sz w:val="18"/>
          <w:szCs w:val="18"/>
        </w:rPr>
        <w:t>%.=</w:t>
      </w:r>
      <w:proofErr w:type="gramEnd"/>
      <w:r>
        <w:rPr>
          <w:rFonts w:ascii="Century Gothic" w:hAnsi="Century Gothic" w:cs="Arial"/>
          <w:sz w:val="18"/>
          <w:szCs w:val="18"/>
        </w:rPr>
        <w:t>&gt; variation du résultat 3 fois supérieure à celle du CA</w:t>
      </w:r>
    </w:p>
    <w:p w14:paraId="09CBF20A" w14:textId="77777777" w:rsidR="00B01F89" w:rsidRPr="006F673D" w:rsidRDefault="00B01F89" w:rsidP="00B01F89">
      <w:pPr>
        <w:autoSpaceDE w:val="0"/>
        <w:autoSpaceDN w:val="0"/>
        <w:adjustRightInd w:val="0"/>
        <w:spacing w:after="0" w:line="240" w:lineRule="auto"/>
        <w:jc w:val="both"/>
        <w:rPr>
          <w:rFonts w:ascii="Century Gothic" w:hAnsi="Century Gothic" w:cs="Arial"/>
          <w:b/>
          <w:bCs/>
          <w:sz w:val="18"/>
          <w:szCs w:val="18"/>
        </w:rPr>
      </w:pPr>
    </w:p>
    <w:p w14:paraId="70111E74"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lastRenderedPageBreak/>
        <w:t>Si le CA HT augmente de 20 %, le résultat d'exploitation augmente de : 2 x 20 % = 40 % ; par conséquent, la rentabilité économique s'améliore.</w:t>
      </w:r>
    </w:p>
    <w:p w14:paraId="5BCA4A84" w14:textId="77777777" w:rsidR="00B01F89"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Elle est de :</w:t>
      </w:r>
    </w:p>
    <w:p w14:paraId="7A9985E3"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 Avant impôt : 17,38 % x 1,4 = 24,33 %</w:t>
      </w:r>
    </w:p>
    <w:p w14:paraId="6EB250CB"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 Après impôt : 24,33 % x 2/ 3 = 16,22 %</w:t>
      </w:r>
    </w:p>
    <w:p w14:paraId="49D27B59"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r w:rsidRPr="006F673D">
        <w:rPr>
          <w:rFonts w:ascii="Century Gothic" w:hAnsi="Century Gothic" w:cs="Arial"/>
          <w:sz w:val="18"/>
          <w:szCs w:val="18"/>
        </w:rPr>
        <w:t>Le résultat net augmente également et l'effet de levier est renforcé :</w:t>
      </w:r>
    </w:p>
    <w:p w14:paraId="2AD2EC0F"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w:p>
    <w:p w14:paraId="78B6D669" w14:textId="77777777" w:rsidR="00B01F89" w:rsidRPr="006F673D" w:rsidRDefault="00B01F89" w:rsidP="00B01F89">
      <w:pPr>
        <w:autoSpaceDE w:val="0"/>
        <w:autoSpaceDN w:val="0"/>
        <w:adjustRightInd w:val="0"/>
        <w:spacing w:after="0" w:line="240" w:lineRule="auto"/>
        <w:jc w:val="both"/>
        <w:rPr>
          <w:rFonts w:ascii="Century Gothic" w:hAnsi="Century Gothic" w:cs="Arial"/>
          <w:sz w:val="18"/>
          <w:szCs w:val="18"/>
        </w:rPr>
      </w:pPr>
      <m:oMathPara>
        <m:oMathParaPr>
          <m:jc m:val="left"/>
        </m:oMathParaPr>
        <m:oMath>
          <m:f>
            <m:fPr>
              <m:ctrlPr>
                <w:rPr>
                  <w:rFonts w:ascii="Cambria Math" w:hAnsi="Cambria Math" w:cs="Arial"/>
                  <w:i/>
                  <w:sz w:val="18"/>
                  <w:szCs w:val="18"/>
                </w:rPr>
              </m:ctrlPr>
            </m:fPr>
            <m:num>
              <m:r>
                <w:rPr>
                  <w:rFonts w:ascii="Cambria Math" w:hAnsi="Cambria Math" w:cs="Arial"/>
                  <w:sz w:val="18"/>
                  <w:szCs w:val="18"/>
                </w:rPr>
                <m:t>D</m:t>
              </m:r>
            </m:num>
            <m:den>
              <m:r>
                <w:rPr>
                  <w:rFonts w:ascii="Cambria Math" w:hAnsi="Cambria Math" w:cs="Arial"/>
                  <w:sz w:val="18"/>
                  <w:szCs w:val="18"/>
                </w:rPr>
                <m:t>K</m:t>
              </m:r>
            </m:den>
          </m:f>
          <m:r>
            <w:rPr>
              <w:rFonts w:ascii="Cambria Math" w:hAnsi="Cambria Math" w:cs="Arial"/>
              <w:sz w:val="18"/>
              <w:szCs w:val="18"/>
            </w:rPr>
            <m:t xml:space="preserve"> </m:t>
          </m:r>
          <m:d>
            <m:dPr>
              <m:ctrlPr>
                <w:rPr>
                  <w:rFonts w:ascii="Cambria Math" w:hAnsi="Cambria Math" w:cs="Arial"/>
                  <w:i/>
                  <w:sz w:val="18"/>
                  <w:szCs w:val="18"/>
                </w:rPr>
              </m:ctrlPr>
            </m:dPr>
            <m:e>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e</m:t>
                  </m:r>
                </m:sub>
              </m:sSub>
              <m:r>
                <w:rPr>
                  <w:rFonts w:ascii="Cambria Math" w:hAnsi="Cambria Math" w:cs="Arial"/>
                  <w:sz w:val="18"/>
                  <w:szCs w:val="18"/>
                </w:rPr>
                <m:t>-i</m:t>
              </m:r>
            </m:e>
          </m:d>
          <m:r>
            <w:rPr>
              <w:rFonts w:ascii="Cambria Math" w:hAnsi="Cambria Math" w:cs="Arial"/>
              <w:sz w:val="18"/>
              <w:szCs w:val="18"/>
            </w:rPr>
            <m:t xml:space="preserve">= </m:t>
          </m:r>
          <m:f>
            <m:fPr>
              <m:ctrlPr>
                <w:rPr>
                  <w:rFonts w:ascii="Cambria Math" w:hAnsi="Cambria Math" w:cs="Arial"/>
                  <w:i/>
                  <w:sz w:val="18"/>
                  <w:szCs w:val="18"/>
                </w:rPr>
              </m:ctrlPr>
            </m:fPr>
            <m:num>
              <m:r>
                <w:rPr>
                  <w:rFonts w:ascii="Cambria Math" w:hAnsi="Cambria Math" w:cs="Arial"/>
                  <w:sz w:val="18"/>
                  <w:szCs w:val="18"/>
                </w:rPr>
                <m:t>4 500</m:t>
              </m:r>
            </m:num>
            <m:den>
              <m:r>
                <w:rPr>
                  <w:rFonts w:ascii="Cambria Math" w:hAnsi="Cambria Math" w:cs="Arial"/>
                  <w:sz w:val="18"/>
                  <w:szCs w:val="18"/>
                </w:rPr>
                <m:t>8 500</m:t>
              </m:r>
            </m:den>
          </m:f>
          <m:r>
            <w:rPr>
              <w:rFonts w:ascii="Cambria Math" w:hAnsi="Cambria Math" w:cs="Arial"/>
              <w:sz w:val="18"/>
              <w:szCs w:val="18"/>
            </w:rPr>
            <m:t xml:space="preserve"> </m:t>
          </m:r>
          <m:d>
            <m:dPr>
              <m:ctrlPr>
                <w:rPr>
                  <w:rFonts w:ascii="Cambria Math" w:hAnsi="Cambria Math" w:cs="Arial"/>
                  <w:i/>
                  <w:sz w:val="18"/>
                  <w:szCs w:val="18"/>
                </w:rPr>
              </m:ctrlPr>
            </m:dPr>
            <m:e>
              <m:r>
                <w:rPr>
                  <w:rFonts w:ascii="Cambria Math" w:hAnsi="Cambria Math" w:cs="Arial"/>
                  <w:sz w:val="18"/>
                  <w:szCs w:val="18"/>
                </w:rPr>
                <m:t>16,22%-3,84%</m:t>
              </m:r>
            </m:e>
          </m:d>
          <m:r>
            <w:rPr>
              <w:rFonts w:ascii="Cambria Math" w:hAnsi="Cambria Math" w:cs="Arial"/>
              <w:sz w:val="18"/>
              <w:szCs w:val="18"/>
            </w:rPr>
            <m:t>=6,55%</m:t>
          </m:r>
        </m:oMath>
      </m:oMathPara>
    </w:p>
    <w:p w14:paraId="194C679E" w14:textId="77777777" w:rsidR="00B01F89" w:rsidRDefault="00B01F89" w:rsidP="00B01F89">
      <w:pPr>
        <w:rPr>
          <w:rFonts w:ascii="Century Gothic" w:hAnsi="Century Gothic" w:cs="Arial"/>
          <w:color w:val="707070"/>
          <w:sz w:val="18"/>
          <w:szCs w:val="18"/>
        </w:rPr>
      </w:pPr>
      <w:r>
        <w:rPr>
          <w:rFonts w:ascii="Century Gothic" w:hAnsi="Century Gothic" w:cs="Arial"/>
          <w:color w:val="707070"/>
          <w:sz w:val="18"/>
          <w:szCs w:val="18"/>
        </w:rPr>
        <w:br w:type="page"/>
      </w:r>
    </w:p>
    <w:p w14:paraId="232FDA6A" w14:textId="77777777" w:rsidR="00B01F89" w:rsidRDefault="00B01F89" w:rsidP="00B01F89">
      <w:pPr>
        <w:autoSpaceDE w:val="0"/>
        <w:autoSpaceDN w:val="0"/>
        <w:adjustRightInd w:val="0"/>
        <w:spacing w:after="0" w:line="240" w:lineRule="auto"/>
        <w:jc w:val="both"/>
        <w:rPr>
          <w:rFonts w:ascii="Century Gothic" w:hAnsi="Century Gothic" w:cs="Arial"/>
          <w:b/>
          <w:bCs/>
          <w:color w:val="707070"/>
          <w:sz w:val="18"/>
          <w:szCs w:val="18"/>
        </w:rPr>
      </w:pPr>
      <w:r w:rsidRPr="00456B82">
        <w:rPr>
          <w:rFonts w:ascii="Century Gothic" w:hAnsi="Century Gothic" w:cs="Arial"/>
          <w:b/>
          <w:bCs/>
          <w:color w:val="707070"/>
          <w:sz w:val="18"/>
          <w:szCs w:val="18"/>
        </w:rPr>
        <w:lastRenderedPageBreak/>
        <w:t>Corrigé exo 10 : Multiples /</w:t>
      </w:r>
      <w:proofErr w:type="spellStart"/>
      <w:r w:rsidRPr="00456B82">
        <w:rPr>
          <w:rFonts w:ascii="Century Gothic" w:hAnsi="Century Gothic" w:cs="Arial"/>
          <w:b/>
          <w:bCs/>
          <w:color w:val="707070"/>
          <w:sz w:val="18"/>
          <w:szCs w:val="18"/>
        </w:rPr>
        <w:t>FlexiJob</w:t>
      </w:r>
      <w:proofErr w:type="spellEnd"/>
      <w:r w:rsidRPr="00456B82">
        <w:rPr>
          <w:rFonts w:ascii="Century Gothic" w:hAnsi="Century Gothic" w:cs="Arial"/>
          <w:b/>
          <w:bCs/>
          <w:color w:val="707070"/>
          <w:sz w:val="18"/>
          <w:szCs w:val="18"/>
        </w:rPr>
        <w:t xml:space="preserve"> </w:t>
      </w:r>
    </w:p>
    <w:p w14:paraId="7DDAC8F4" w14:textId="77777777" w:rsidR="00B01F89" w:rsidRPr="00456B82" w:rsidRDefault="00B01F89" w:rsidP="00B01F89">
      <w:pPr>
        <w:autoSpaceDE w:val="0"/>
        <w:autoSpaceDN w:val="0"/>
        <w:adjustRightInd w:val="0"/>
        <w:spacing w:after="0" w:line="240" w:lineRule="auto"/>
        <w:jc w:val="both"/>
        <w:rPr>
          <w:rFonts w:ascii="Century Gothic" w:hAnsi="Century Gothic" w:cs="Arial"/>
          <w:b/>
          <w:bCs/>
          <w:color w:val="707070"/>
          <w:sz w:val="18"/>
          <w:szCs w:val="18"/>
        </w:rPr>
      </w:pPr>
    </w:p>
    <w:p w14:paraId="4D5C3E89" w14:textId="77777777" w:rsidR="00B01F89" w:rsidRPr="00384B5A" w:rsidRDefault="00B01F89" w:rsidP="00B01F89">
      <w:pPr>
        <w:pStyle w:val="Paragraphedeliste"/>
        <w:numPr>
          <w:ilvl w:val="0"/>
          <w:numId w:val="2"/>
        </w:numPr>
        <w:autoSpaceDE w:val="0"/>
        <w:autoSpaceDN w:val="0"/>
        <w:adjustRightInd w:val="0"/>
        <w:spacing w:after="0" w:line="240" w:lineRule="auto"/>
        <w:jc w:val="both"/>
        <w:rPr>
          <w:rFonts w:ascii="Century Gothic" w:hAnsi="Century Gothic" w:cs="Arial"/>
          <w:color w:val="707070"/>
          <w:sz w:val="18"/>
          <w:szCs w:val="18"/>
        </w:rPr>
      </w:pPr>
      <w:proofErr w:type="gramStart"/>
      <w:r>
        <w:rPr>
          <w:rFonts w:ascii="Century Gothic" w:hAnsi="Century Gothic" w:cs="Arial"/>
          <w:color w:val="707070"/>
          <w:sz w:val="18"/>
          <w:szCs w:val="18"/>
        </w:rPr>
        <w:t>et</w:t>
      </w:r>
      <w:proofErr w:type="gramEnd"/>
      <w:r>
        <w:rPr>
          <w:rFonts w:ascii="Century Gothic" w:hAnsi="Century Gothic" w:cs="Arial"/>
          <w:color w:val="707070"/>
          <w:sz w:val="18"/>
          <w:szCs w:val="18"/>
        </w:rPr>
        <w:t xml:space="preserve"> b)</w:t>
      </w:r>
    </w:p>
    <w:p w14:paraId="66D7FE62" w14:textId="77777777" w:rsidR="00B01F89" w:rsidRDefault="00B01F89" w:rsidP="00B01F89">
      <w:pPr>
        <w:autoSpaceDE w:val="0"/>
        <w:autoSpaceDN w:val="0"/>
        <w:adjustRightInd w:val="0"/>
        <w:spacing w:after="0" w:line="240" w:lineRule="auto"/>
        <w:jc w:val="both"/>
        <w:rPr>
          <w:rFonts w:ascii="Century Gothic" w:hAnsi="Century Gothic" w:cs="Arial"/>
          <w:color w:val="707070"/>
          <w:sz w:val="18"/>
          <w:szCs w:val="18"/>
        </w:rPr>
      </w:pPr>
    </w:p>
    <w:p w14:paraId="0746F608" w14:textId="77777777" w:rsidR="00B01F89" w:rsidRDefault="00B01F89" w:rsidP="00B01F89">
      <w:pPr>
        <w:autoSpaceDE w:val="0"/>
        <w:autoSpaceDN w:val="0"/>
        <w:adjustRightInd w:val="0"/>
        <w:spacing w:after="0" w:line="240" w:lineRule="auto"/>
        <w:jc w:val="both"/>
        <w:rPr>
          <w:rFonts w:ascii="Century Gothic" w:hAnsi="Century Gothic" w:cs="Arial"/>
          <w:color w:val="707070"/>
          <w:sz w:val="18"/>
          <w:szCs w:val="18"/>
        </w:rPr>
      </w:pPr>
      <w:r>
        <w:rPr>
          <w:noProof/>
        </w:rPr>
        <w:lastRenderedPageBreak/>
        <mc:AlternateContent>
          <mc:Choice Requires="wps">
            <w:drawing>
              <wp:anchor distT="0" distB="0" distL="114300" distR="114300" simplePos="0" relativeHeight="251661312" behindDoc="0" locked="0" layoutInCell="1" allowOverlap="1" wp14:anchorId="6FC7956F" wp14:editId="56BCA9D3">
                <wp:simplePos x="0" y="0"/>
                <wp:positionH relativeFrom="column">
                  <wp:posOffset>651684</wp:posOffset>
                </wp:positionH>
                <wp:positionV relativeFrom="paragraph">
                  <wp:posOffset>8755726</wp:posOffset>
                </wp:positionV>
                <wp:extent cx="673735" cy="262255"/>
                <wp:effectExtent l="0" t="0" r="0" b="0"/>
                <wp:wrapNone/>
                <wp:docPr id="2" name="Zone de texte 2"/>
                <wp:cNvGraphicFramePr/>
                <a:graphic xmlns:a="http://schemas.openxmlformats.org/drawingml/2006/main">
                  <a:graphicData uri="http://schemas.microsoft.com/office/word/2010/wordprocessingShape">
                    <wps:wsp>
                      <wps:cNvSpPr txBox="1"/>
                      <wps:spPr>
                        <a:xfrm rot="16200000">
                          <a:off x="0" y="0"/>
                          <a:ext cx="673735" cy="262255"/>
                        </a:xfrm>
                        <a:prstGeom prst="rect">
                          <a:avLst/>
                        </a:prstGeom>
                        <a:noFill/>
                        <a:ln w="6350">
                          <a:noFill/>
                        </a:ln>
                        <a:effectLst>
                          <a:softEdge rad="0"/>
                        </a:effectLst>
                      </wps:spPr>
                      <wps:txbx>
                        <w:txbxContent>
                          <w:p w14:paraId="57585898" w14:textId="77777777" w:rsidR="00B01F89" w:rsidRPr="002233B2" w:rsidRDefault="00B01F89" w:rsidP="00B01F89">
                            <w:pPr>
                              <w:jc w:val="center"/>
                              <w:rPr>
                                <w:sz w:val="16"/>
                                <w:szCs w:val="16"/>
                              </w:rPr>
                            </w:pPr>
                            <w:proofErr w:type="spellStart"/>
                            <w:r w:rsidRPr="002233B2">
                              <w:rPr>
                                <w:sz w:val="16"/>
                                <w:szCs w:val="16"/>
                              </w:rPr>
                              <w:t>FlexiJob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7956F" id="_x0000_t202" coordsize="21600,21600" o:spt="202" path="m,l,21600r21600,l21600,xe">
                <v:stroke joinstyle="miter"/>
                <v:path gradientshapeok="t" o:connecttype="rect"/>
              </v:shapetype>
              <v:shape id="Zone de texte 2" o:spid="_x0000_s1026" type="#_x0000_t202" style="position:absolute;left:0;text-align:left;margin-left:51.3pt;margin-top:689.45pt;width:53.05pt;height:20.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" filled="f" stroked="f" strokeweight=".5pt">
                <v:textbox>
                  <w:txbxContent>
                    <w:p w14:paraId="57585898" w14:textId="77777777" w:rsidR="00B01F89" w:rsidRPr="002233B2" w:rsidRDefault="00B01F89" w:rsidP="00B01F89">
                      <w:pPr>
                        <w:jc w:val="center"/>
                        <w:rPr>
                          <w:sz w:val="16"/>
                          <w:szCs w:val="16"/>
                        </w:rPr>
                      </w:pPr>
                      <w:proofErr w:type="spellStart"/>
                      <w:r w:rsidRPr="002233B2">
                        <w:rPr>
                          <w:sz w:val="16"/>
                          <w:szCs w:val="16"/>
                        </w:rPr>
                        <w:t>FlexiJob</w:t>
                      </w:r>
                      <w:proofErr w:type="spell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CBF013" wp14:editId="10C5DC60">
                <wp:simplePos x="0" y="0"/>
                <wp:positionH relativeFrom="column">
                  <wp:posOffset>938241</wp:posOffset>
                </wp:positionH>
                <wp:positionV relativeFrom="paragraph">
                  <wp:posOffset>8874587</wp:posOffset>
                </wp:positionV>
                <wp:extent cx="64655" cy="180109"/>
                <wp:effectExtent l="0" t="0" r="12065" b="10795"/>
                <wp:wrapNone/>
                <wp:docPr id="11" name="Rectangle 11"/>
                <wp:cNvGraphicFramePr/>
                <a:graphic xmlns:a="http://schemas.openxmlformats.org/drawingml/2006/main">
                  <a:graphicData uri="http://schemas.microsoft.com/office/word/2010/wordprocessingShape">
                    <wps:wsp>
                      <wps:cNvSpPr/>
                      <wps:spPr>
                        <a:xfrm>
                          <a:off x="0" y="0"/>
                          <a:ext cx="64655" cy="180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FEB9A" id="Rectangle 11" o:spid="_x0000_s1026" style="position:absolute;margin-left:73.9pt;margin-top:698.8pt;width:5.1pt;height:1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" fillcolor="white [3212]" strokecolor="white [3212]" strokeweight="1pt"/>
            </w:pict>
          </mc:Fallback>
        </mc:AlternateContent>
      </w:r>
      <w:r>
        <w:rPr>
          <w:noProof/>
        </w:rPr>
        <mc:AlternateContent>
          <mc:Choice Requires="wps">
            <w:drawing>
              <wp:anchor distT="0" distB="0" distL="114300" distR="114300" simplePos="0" relativeHeight="251660288" behindDoc="0" locked="0" layoutInCell="1" allowOverlap="1" wp14:anchorId="11A40FB1" wp14:editId="5DFAB158">
                <wp:simplePos x="0" y="0"/>
                <wp:positionH relativeFrom="column">
                  <wp:posOffset>1770253</wp:posOffset>
                </wp:positionH>
                <wp:positionV relativeFrom="paragraph">
                  <wp:posOffset>914323</wp:posOffset>
                </wp:positionV>
                <wp:extent cx="4403750" cy="2896819"/>
                <wp:effectExtent l="0" t="0" r="15875" b="18415"/>
                <wp:wrapNone/>
                <wp:docPr id="18" name="Zone de texte 18"/>
                <wp:cNvGraphicFramePr/>
                <a:graphic xmlns:a="http://schemas.openxmlformats.org/drawingml/2006/main">
                  <a:graphicData uri="http://schemas.microsoft.com/office/word/2010/wordprocessingShape">
                    <wps:wsp>
                      <wps:cNvSpPr txBox="1"/>
                      <wps:spPr>
                        <a:xfrm>
                          <a:off x="0" y="0"/>
                          <a:ext cx="4403750" cy="2896819"/>
                        </a:xfrm>
                        <a:prstGeom prst="rect">
                          <a:avLst/>
                        </a:prstGeom>
                        <a:solidFill>
                          <a:schemeClr val="lt1"/>
                        </a:solidFill>
                        <a:ln w="6350">
                          <a:solidFill>
                            <a:prstClr val="black"/>
                          </a:solidFill>
                        </a:ln>
                      </wps:spPr>
                      <wps:txbx>
                        <w:txbxContent>
                          <w:p w14:paraId="36EAFE3C" w14:textId="77777777" w:rsidR="00B01F89" w:rsidRPr="00384B5A" w:rsidRDefault="00B01F89" w:rsidP="00B01F89">
                            <w:pPr>
                              <w:jc w:val="both"/>
                              <w:rPr>
                                <w:rFonts w:ascii="Century Gothic" w:hAnsi="Century Gothic"/>
                              </w:rPr>
                            </w:pPr>
                            <w:r w:rsidRPr="00384B5A">
                              <w:rPr>
                                <w:rFonts w:ascii="Century Gothic" w:hAnsi="Century Gothic"/>
                              </w:rPr>
                              <w:t xml:space="preserve">c) plus la croissance anticipée est forte, plus les multiples sont élevés. </w:t>
                            </w:r>
                          </w:p>
                          <w:p w14:paraId="7028080E" w14:textId="77777777" w:rsidR="00B01F89" w:rsidRPr="00384B5A" w:rsidRDefault="00B01F89" w:rsidP="00B01F89">
                            <w:pPr>
                              <w:jc w:val="both"/>
                              <w:rPr>
                                <w:rFonts w:ascii="Century Gothic" w:hAnsi="Century Gothic"/>
                              </w:rPr>
                            </w:pPr>
                            <w:r w:rsidRPr="00384B5A">
                              <w:rPr>
                                <w:rFonts w:ascii="Century Gothic" w:hAnsi="Century Gothic"/>
                              </w:rPr>
                              <w:t xml:space="preserve">d) Non car </w:t>
                            </w:r>
                            <w:proofErr w:type="spellStart"/>
                            <w:r w:rsidRPr="00384B5A">
                              <w:rPr>
                                <w:rFonts w:ascii="Century Gothic" w:hAnsi="Century Gothic"/>
                              </w:rPr>
                              <w:t>FlexiJob</w:t>
                            </w:r>
                            <w:proofErr w:type="spellEnd"/>
                            <w:r w:rsidRPr="00384B5A">
                              <w:rPr>
                                <w:rFonts w:ascii="Century Gothic" w:hAnsi="Century Gothic"/>
                              </w:rPr>
                              <w:t xml:space="preserve"> a une croissance anticipée supérieur à l</w:t>
                            </w:r>
                            <w:r>
                              <w:rPr>
                                <w:rFonts w:ascii="Century Gothic" w:hAnsi="Century Gothic"/>
                              </w:rPr>
                              <w:t>a</w:t>
                            </w:r>
                            <w:r w:rsidRPr="00384B5A">
                              <w:rPr>
                                <w:rFonts w:ascii="Century Gothic" w:hAnsi="Century Gothic"/>
                              </w:rPr>
                              <w:t xml:space="preserve"> moyenne et une taille beaucoup plus petite. </w:t>
                            </w:r>
                          </w:p>
                          <w:p w14:paraId="4AC9ED22" w14:textId="77777777" w:rsidR="00B01F89" w:rsidRPr="00384B5A" w:rsidRDefault="00B01F89" w:rsidP="00B01F89">
                            <w:pPr>
                              <w:jc w:val="both"/>
                              <w:rPr>
                                <w:rFonts w:ascii="Century Gothic" w:hAnsi="Century Gothic"/>
                              </w:rPr>
                            </w:pPr>
                            <w:r w:rsidRPr="00384B5A">
                              <w:rPr>
                                <w:rFonts w:ascii="Century Gothic" w:hAnsi="Century Gothic"/>
                              </w:rPr>
                              <w:t xml:space="preserve">e) Le coef R est pertinent puisque supérieur largement à 50% : 82% de la variabilité des multiples est expliquée par la croissance expliquée ! </w:t>
                            </w:r>
                          </w:p>
                          <w:p w14:paraId="3F9B087E" w14:textId="77777777" w:rsidR="00B01F89" w:rsidRPr="00384B5A" w:rsidRDefault="00B01F89" w:rsidP="00B01F89">
                            <w:pPr>
                              <w:jc w:val="both"/>
                              <w:rPr>
                                <w:rFonts w:ascii="Century Gothic" w:hAnsi="Century Gothic"/>
                              </w:rPr>
                            </w:pPr>
                            <w:r w:rsidRPr="00384B5A">
                              <w:rPr>
                                <w:rFonts w:ascii="Century Gothic" w:hAnsi="Century Gothic"/>
                              </w:rPr>
                              <w:t>En utilisant l’équation de régression, il vient que le multiple du REX est 11,1 : 32,279 x 12,3% + 7,0835 = 11,1. D’où une valeur de l’action de (11,1 x 10,3-</w:t>
                            </w:r>
                            <w:proofErr w:type="gramStart"/>
                            <w:r w:rsidRPr="00384B5A">
                              <w:rPr>
                                <w:rFonts w:ascii="Century Gothic" w:hAnsi="Century Gothic"/>
                              </w:rPr>
                              <w:t>13)/</w:t>
                            </w:r>
                            <w:proofErr w:type="gramEnd"/>
                            <w:r w:rsidRPr="00384B5A">
                              <w:rPr>
                                <w:rFonts w:ascii="Century Gothic" w:hAnsi="Century Gothic"/>
                              </w:rPr>
                              <w:t>2,541 = 39,9€. Mais ce résultat ne ti</w:t>
                            </w:r>
                            <w:r>
                              <w:rPr>
                                <w:rFonts w:ascii="Century Gothic" w:hAnsi="Century Gothic"/>
                              </w:rPr>
                              <w:t>ent</w:t>
                            </w:r>
                            <w:r w:rsidRPr="00384B5A">
                              <w:rPr>
                                <w:rFonts w:ascii="Century Gothic" w:hAnsi="Century Gothic"/>
                              </w:rPr>
                              <w:t xml:space="preserve"> pas compte d’un effet taille qui pénaliserait </w:t>
                            </w:r>
                            <w:proofErr w:type="spellStart"/>
                            <w:r w:rsidRPr="00384B5A">
                              <w:rPr>
                                <w:rFonts w:ascii="Century Gothic" w:hAnsi="Century Gothic"/>
                              </w:rPr>
                              <w:t>FlexiJob</w:t>
                            </w:r>
                            <w:proofErr w:type="spellEnd"/>
                            <w:r w:rsidRPr="00384B5A">
                              <w:rPr>
                                <w:rFonts w:ascii="Century Gothic" w:hAnsi="Century Gothic"/>
                              </w:rPr>
                              <w:t>, bi</w:t>
                            </w:r>
                            <w:r>
                              <w:rPr>
                                <w:rFonts w:ascii="Century Gothic" w:hAnsi="Century Gothic"/>
                              </w:rPr>
                              <w:t>en</w:t>
                            </w:r>
                            <w:r w:rsidRPr="00384B5A">
                              <w:rPr>
                                <w:rFonts w:ascii="Century Gothic" w:hAnsi="Century Gothic"/>
                              </w:rPr>
                              <w:t xml:space="preserve"> plus petit que les comparables de l’échantillon.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40FB1" id="Zone de texte 18" o:spid="_x0000_s1027" type="#_x0000_t202" style="position:absolute;left:0;text-align:left;margin-left:139.4pt;margin-top:1in;width:346.75pt;height:2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" fillcolor="white [3201]" strokeweight=".5pt">
                <v:textbox>
                  <w:txbxContent>
                    <w:p w14:paraId="36EAFE3C" w14:textId="77777777" w:rsidR="00B01F89" w:rsidRPr="00384B5A" w:rsidRDefault="00B01F89" w:rsidP="00B01F89">
                      <w:pPr>
                        <w:jc w:val="both"/>
                        <w:rPr>
                          <w:rFonts w:ascii="Century Gothic" w:hAnsi="Century Gothic"/>
                        </w:rPr>
                      </w:pPr>
                      <w:r w:rsidRPr="00384B5A">
                        <w:rPr>
                          <w:rFonts w:ascii="Century Gothic" w:hAnsi="Century Gothic"/>
                        </w:rPr>
                        <w:t xml:space="preserve">c) plus la croissance anticipée est forte, plus les multiples sont élevés. </w:t>
                      </w:r>
                    </w:p>
                    <w:p w14:paraId="7028080E" w14:textId="77777777" w:rsidR="00B01F89" w:rsidRPr="00384B5A" w:rsidRDefault="00B01F89" w:rsidP="00B01F89">
                      <w:pPr>
                        <w:jc w:val="both"/>
                        <w:rPr>
                          <w:rFonts w:ascii="Century Gothic" w:hAnsi="Century Gothic"/>
                        </w:rPr>
                      </w:pPr>
                      <w:r w:rsidRPr="00384B5A">
                        <w:rPr>
                          <w:rFonts w:ascii="Century Gothic" w:hAnsi="Century Gothic"/>
                        </w:rPr>
                        <w:t xml:space="preserve">d) Non car </w:t>
                      </w:r>
                      <w:proofErr w:type="spellStart"/>
                      <w:r w:rsidRPr="00384B5A">
                        <w:rPr>
                          <w:rFonts w:ascii="Century Gothic" w:hAnsi="Century Gothic"/>
                        </w:rPr>
                        <w:t>FlexiJob</w:t>
                      </w:r>
                      <w:proofErr w:type="spellEnd"/>
                      <w:r w:rsidRPr="00384B5A">
                        <w:rPr>
                          <w:rFonts w:ascii="Century Gothic" w:hAnsi="Century Gothic"/>
                        </w:rPr>
                        <w:t xml:space="preserve"> a une croissance anticipée supérieur à l</w:t>
                      </w:r>
                      <w:r>
                        <w:rPr>
                          <w:rFonts w:ascii="Century Gothic" w:hAnsi="Century Gothic"/>
                        </w:rPr>
                        <w:t>a</w:t>
                      </w:r>
                      <w:r w:rsidRPr="00384B5A">
                        <w:rPr>
                          <w:rFonts w:ascii="Century Gothic" w:hAnsi="Century Gothic"/>
                        </w:rPr>
                        <w:t xml:space="preserve"> moyenne et une taille beaucoup plus petite. </w:t>
                      </w:r>
                    </w:p>
                    <w:p w14:paraId="4AC9ED22" w14:textId="77777777" w:rsidR="00B01F89" w:rsidRPr="00384B5A" w:rsidRDefault="00B01F89" w:rsidP="00B01F89">
                      <w:pPr>
                        <w:jc w:val="both"/>
                        <w:rPr>
                          <w:rFonts w:ascii="Century Gothic" w:hAnsi="Century Gothic"/>
                        </w:rPr>
                      </w:pPr>
                      <w:r w:rsidRPr="00384B5A">
                        <w:rPr>
                          <w:rFonts w:ascii="Century Gothic" w:hAnsi="Century Gothic"/>
                        </w:rPr>
                        <w:t xml:space="preserve">e) Le coef R est pertinent puisque supérieur largement à 50% : 82% de la variabilité des multiples est expliquée par la croissance expliquée ! </w:t>
                      </w:r>
                    </w:p>
                    <w:p w14:paraId="3F9B087E" w14:textId="77777777" w:rsidR="00B01F89" w:rsidRPr="00384B5A" w:rsidRDefault="00B01F89" w:rsidP="00B01F89">
                      <w:pPr>
                        <w:jc w:val="both"/>
                        <w:rPr>
                          <w:rFonts w:ascii="Century Gothic" w:hAnsi="Century Gothic"/>
                        </w:rPr>
                      </w:pPr>
                      <w:r w:rsidRPr="00384B5A">
                        <w:rPr>
                          <w:rFonts w:ascii="Century Gothic" w:hAnsi="Century Gothic"/>
                        </w:rPr>
                        <w:t>En utilisant l’équation de régression, il vient que le multiple du REX est 11,1 : 32,279 x 12,3% + 7,0835 = 11,1. D’où une valeur de l’action de (11,1 x 10,3-</w:t>
                      </w:r>
                      <w:proofErr w:type="gramStart"/>
                      <w:r w:rsidRPr="00384B5A">
                        <w:rPr>
                          <w:rFonts w:ascii="Century Gothic" w:hAnsi="Century Gothic"/>
                        </w:rPr>
                        <w:t>13)/</w:t>
                      </w:r>
                      <w:proofErr w:type="gramEnd"/>
                      <w:r w:rsidRPr="00384B5A">
                        <w:rPr>
                          <w:rFonts w:ascii="Century Gothic" w:hAnsi="Century Gothic"/>
                        </w:rPr>
                        <w:t>2,541 = 39,9€. Mais ce résultat ne ti</w:t>
                      </w:r>
                      <w:r>
                        <w:rPr>
                          <w:rFonts w:ascii="Century Gothic" w:hAnsi="Century Gothic"/>
                        </w:rPr>
                        <w:t>ent</w:t>
                      </w:r>
                      <w:r w:rsidRPr="00384B5A">
                        <w:rPr>
                          <w:rFonts w:ascii="Century Gothic" w:hAnsi="Century Gothic"/>
                        </w:rPr>
                        <w:t xml:space="preserve"> pas compte d’un effet taille qui pénaliserait </w:t>
                      </w:r>
                      <w:proofErr w:type="spellStart"/>
                      <w:r w:rsidRPr="00384B5A">
                        <w:rPr>
                          <w:rFonts w:ascii="Century Gothic" w:hAnsi="Century Gothic"/>
                        </w:rPr>
                        <w:t>FlexiJob</w:t>
                      </w:r>
                      <w:proofErr w:type="spellEnd"/>
                      <w:r w:rsidRPr="00384B5A">
                        <w:rPr>
                          <w:rFonts w:ascii="Century Gothic" w:hAnsi="Century Gothic"/>
                        </w:rPr>
                        <w:t>, bi</w:t>
                      </w:r>
                      <w:r>
                        <w:rPr>
                          <w:rFonts w:ascii="Century Gothic" w:hAnsi="Century Gothic"/>
                        </w:rPr>
                        <w:t>en</w:t>
                      </w:r>
                      <w:r w:rsidRPr="00384B5A">
                        <w:rPr>
                          <w:rFonts w:ascii="Century Gothic" w:hAnsi="Century Gothic"/>
                        </w:rPr>
                        <w:t xml:space="preserve"> plus petit que les comparables de l’échantillon.  </w:t>
                      </w:r>
                    </w:p>
                  </w:txbxContent>
                </v:textbox>
              </v:shape>
            </w:pict>
          </mc:Fallback>
        </mc:AlternateContent>
      </w:r>
      <w:r>
        <w:rPr>
          <w:rFonts w:ascii="Century Gothic" w:hAnsi="Century Gothic" w:cs="Arial"/>
          <w:color w:val="707070"/>
          <w:sz w:val="18"/>
          <w:szCs w:val="18"/>
        </w:rPr>
        <w:t xml:space="preserve"> </w:t>
      </w:r>
      <w:r w:rsidRPr="009C4D38">
        <w:rPr>
          <w:noProof/>
        </w:rPr>
        <w:drawing>
          <wp:inline distT="0" distB="0" distL="0" distR="0" wp14:anchorId="75727813" wp14:editId="43755B73">
            <wp:extent cx="9093559" cy="1876635"/>
            <wp:effectExtent l="7937" t="0" r="0" b="1587"/>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9142772" cy="1886791"/>
                    </a:xfrm>
                    <a:prstGeom prst="rect">
                      <a:avLst/>
                    </a:prstGeom>
                    <a:noFill/>
                    <a:ln>
                      <a:noFill/>
                    </a:ln>
                  </pic:spPr>
                </pic:pic>
              </a:graphicData>
            </a:graphic>
          </wp:inline>
        </w:drawing>
      </w:r>
      <w:r>
        <w:rPr>
          <w:rFonts w:ascii="Century Gothic" w:hAnsi="Century Gothic" w:cs="Arial"/>
          <w:noProof/>
          <w:color w:val="707070"/>
          <w:sz w:val="18"/>
          <w:szCs w:val="18"/>
        </w:rPr>
        <w:drawing>
          <wp:inline distT="0" distB="0" distL="0" distR="0" wp14:anchorId="08423002" wp14:editId="6E387F69">
            <wp:extent cx="2939628" cy="1780540"/>
            <wp:effectExtent l="7938" t="0" r="2222" b="2223"/>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2956588" cy="1790813"/>
                    </a:xfrm>
                    <a:prstGeom prst="rect">
                      <a:avLst/>
                    </a:prstGeom>
                    <a:noFill/>
                  </pic:spPr>
                </pic:pic>
              </a:graphicData>
            </a:graphic>
          </wp:inline>
        </w:drawing>
      </w:r>
    </w:p>
    <w:p w14:paraId="4859511F" w14:textId="77777777" w:rsidR="00B01F89" w:rsidRDefault="00B01F89" w:rsidP="00B01F89">
      <w:r>
        <w:lastRenderedPageBreak/>
        <w:t xml:space="preserve">La méthode des multiples, est une approche analogique par comparaison avec d’autres entreprises du même secteur. </w:t>
      </w:r>
    </w:p>
    <w:p w14:paraId="2589DF4A" w14:textId="77777777" w:rsidR="00B01F89" w:rsidRDefault="00B01F89" w:rsidP="00B01F89">
      <w:r>
        <w:t xml:space="preserve">Dans cette approche, la valeur de l’actif économique d’une entreprise résulte d’un multiple de sa capacité bénéficiaire : multiple du résultat d’exploitation ou multiple de l’excédent brut d’exploitation. </w:t>
      </w:r>
    </w:p>
    <w:p w14:paraId="3547E93C" w14:textId="77777777" w:rsidR="00B01F89" w:rsidRDefault="00B01F89" w:rsidP="00B01F89">
      <w:r>
        <w:t>Le multiple considéré peut-être un multiple de transaction ou un multiple boursier.</w:t>
      </w:r>
    </w:p>
    <w:p w14:paraId="0BB85582" w14:textId="5BCBE5F1" w:rsidR="00062937" w:rsidRPr="00B01F89" w:rsidRDefault="00B01F89">
      <w:pPr>
        <w:rPr>
          <w:rFonts w:ascii="Century Gothic" w:hAnsi="Century Gothic" w:cs="Arial"/>
          <w:color w:val="707070"/>
          <w:sz w:val="18"/>
          <w:szCs w:val="18"/>
        </w:rPr>
      </w:pPr>
      <w:r>
        <w:t>Il provient de l’observation de la valorisation d’entreprises semblables. Pour obtenir la valeur des capitaux propres, on retranche la valeur de l’endettement bancaire et financier net retraité. Alternativement, on valorisera directement les capitaux propres par un multiple comme le PER, le PBR ou le multiple de la capacité d’autofinancement.</w:t>
      </w:r>
    </w:p>
    <w:sectPr w:rsidR="00062937" w:rsidRPr="00B01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3675E"/>
    <w:multiLevelType w:val="hybridMultilevel"/>
    <w:tmpl w:val="BC2A3A6A"/>
    <w:lvl w:ilvl="0" w:tplc="675EF6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41F4126"/>
    <w:multiLevelType w:val="hybridMultilevel"/>
    <w:tmpl w:val="CC403A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2358428">
    <w:abstractNumId w:val="0"/>
  </w:num>
  <w:num w:numId="2" w16cid:durableId="491913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89"/>
    <w:rsid w:val="00062937"/>
    <w:rsid w:val="00B01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00E8"/>
  <w15:chartTrackingRefBased/>
  <w15:docId w15:val="{0D9497C7-615A-4E4D-980E-912DBA8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F89"/>
    <w:pPr>
      <w:ind w:left="720"/>
      <w:contextualSpacing/>
    </w:pPr>
  </w:style>
  <w:style w:type="table" w:styleId="Grilledutableau">
    <w:name w:val="Table Grid"/>
    <w:basedOn w:val="TableauNormal"/>
    <w:uiPriority w:val="39"/>
    <w:rsid w:val="00B0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542</Words>
  <Characters>2984</Characters>
  <Application>Microsoft Office Word</Application>
  <DocSecurity>0</DocSecurity>
  <Lines>24</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faille</dc:creator>
  <cp:keywords/>
  <dc:description/>
  <cp:lastModifiedBy>aline faille</cp:lastModifiedBy>
  <cp:revision>1</cp:revision>
  <dcterms:created xsi:type="dcterms:W3CDTF">2022-11-10T17:50:00Z</dcterms:created>
  <dcterms:modified xsi:type="dcterms:W3CDTF">2022-11-10T17:51:00Z</dcterms:modified>
</cp:coreProperties>
</file>